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FC8" w:rsidRDefault="00A80091">
      <w:pPr>
        <w:pStyle w:val="LGCaption"/>
      </w:pPr>
      <w:r>
        <w:t>docket NO. 49189</w:t>
      </w:r>
    </w:p>
    <w:tbl>
      <w:tblPr>
        <w:tblW w:w="9108" w:type="dxa"/>
        <w:tblLayout w:type="fixed"/>
        <w:tblLook w:val="0000" w:firstRow="0" w:lastRow="0" w:firstColumn="0" w:lastColumn="0" w:noHBand="0" w:noVBand="0"/>
      </w:tblPr>
      <w:tblGrid>
        <w:gridCol w:w="4140"/>
        <w:gridCol w:w="270"/>
        <w:gridCol w:w="4698"/>
      </w:tblGrid>
      <w:tr w:rsidR="00DD5FC8">
        <w:trPr>
          <w:trHeight w:val="837"/>
        </w:trPr>
        <w:tc>
          <w:tcPr>
            <w:tcW w:w="4140" w:type="dxa"/>
          </w:tcPr>
          <w:p w:rsidR="00DD5FC8" w:rsidRDefault="00A80091">
            <w:pPr>
              <w:pStyle w:val="pleadingstyle"/>
              <w:spacing w:after="0"/>
              <w:rPr>
                <w:rFonts w:ascii="Times New Roman" w:hAnsi="Times New Roman"/>
                <w:b/>
              </w:rPr>
            </w:pPr>
            <w:r>
              <w:rPr>
                <w:rFonts w:ascii="Times New Roman" w:hAnsi="Times New Roman"/>
                <w:b/>
              </w:rPr>
              <w:t>application of the city of austin dba austin water for authority to change water and wastewater rates</w:t>
            </w:r>
          </w:p>
        </w:tc>
        <w:tc>
          <w:tcPr>
            <w:tcW w:w="270" w:type="dxa"/>
          </w:tcPr>
          <w:p w:rsidR="00DD5FC8" w:rsidRDefault="00A80091">
            <w:pPr>
              <w:jc w:val="center"/>
              <w:rPr>
                <w:b/>
              </w:rPr>
            </w:pPr>
            <w:r>
              <w:rPr>
                <w:b/>
              </w:rPr>
              <w:t>§</w:t>
            </w:r>
          </w:p>
          <w:p w:rsidR="00DD5FC8" w:rsidRDefault="00A80091">
            <w:pPr>
              <w:jc w:val="center"/>
              <w:rPr>
                <w:b/>
              </w:rPr>
            </w:pPr>
            <w:r>
              <w:rPr>
                <w:b/>
              </w:rPr>
              <w:t>§</w:t>
            </w:r>
          </w:p>
          <w:p w:rsidR="00DD5FC8" w:rsidRDefault="00A80091">
            <w:pPr>
              <w:jc w:val="center"/>
              <w:rPr>
                <w:b/>
              </w:rPr>
            </w:pPr>
            <w:r>
              <w:rPr>
                <w:b/>
              </w:rPr>
              <w:t>§</w:t>
            </w:r>
          </w:p>
          <w:p w:rsidR="00DD5FC8" w:rsidRDefault="00A80091">
            <w:pPr>
              <w:jc w:val="center"/>
              <w:rPr>
                <w:b/>
              </w:rPr>
            </w:pPr>
            <w:r>
              <w:rPr>
                <w:b/>
              </w:rPr>
              <w:t>§</w:t>
            </w:r>
          </w:p>
          <w:p w:rsidR="00DD5FC8" w:rsidRDefault="00A80091">
            <w:pPr>
              <w:jc w:val="center"/>
              <w:rPr>
                <w:b/>
              </w:rPr>
            </w:pPr>
            <w:r>
              <w:rPr>
                <w:b/>
              </w:rPr>
              <w:t>§</w:t>
            </w:r>
          </w:p>
        </w:tc>
        <w:tc>
          <w:tcPr>
            <w:tcW w:w="4698" w:type="dxa"/>
          </w:tcPr>
          <w:p w:rsidR="00DD5FC8" w:rsidRDefault="00A80091">
            <w:pPr>
              <w:jc w:val="center"/>
              <w:rPr>
                <w:b/>
              </w:rPr>
            </w:pPr>
            <w:r>
              <w:rPr>
                <w:b/>
              </w:rPr>
              <w:t>BEFORE THE</w:t>
            </w:r>
          </w:p>
          <w:p w:rsidR="00DD5FC8" w:rsidRDefault="00DD5FC8"/>
          <w:p w:rsidR="00DD5FC8" w:rsidRDefault="00A80091">
            <w:pPr>
              <w:pStyle w:val="LGTitle"/>
              <w:spacing w:after="0"/>
              <w:rPr>
                <w:caps w:val="0"/>
                <w:szCs w:val="24"/>
              </w:rPr>
            </w:pPr>
            <w:r>
              <w:rPr>
                <w:caps w:val="0"/>
                <w:szCs w:val="24"/>
              </w:rPr>
              <w:t>PUBLIC UTILITY COMMISSION</w:t>
            </w:r>
          </w:p>
          <w:p w:rsidR="00DD5FC8" w:rsidRDefault="00DD5FC8">
            <w:pPr>
              <w:pStyle w:val="BodyText"/>
              <w:spacing w:after="0"/>
            </w:pPr>
          </w:p>
          <w:p w:rsidR="00DD5FC8" w:rsidRDefault="00A80091">
            <w:pPr>
              <w:jc w:val="center"/>
            </w:pPr>
            <w:r>
              <w:rPr>
                <w:b/>
              </w:rPr>
              <w:t>OF TEXAS</w:t>
            </w:r>
          </w:p>
        </w:tc>
      </w:tr>
    </w:tbl>
    <w:p w:rsidR="00DD5FC8" w:rsidRDefault="00DD5FC8">
      <w:pPr>
        <w:tabs>
          <w:tab w:val="left" w:pos="720"/>
        </w:tabs>
        <w:spacing w:after="240"/>
        <w:rPr>
          <w:color w:val="auto"/>
        </w:rPr>
      </w:pPr>
    </w:p>
    <w:p w:rsidR="00DD5FC8" w:rsidRDefault="00A80091">
      <w:pPr>
        <w:tabs>
          <w:tab w:val="left" w:pos="720"/>
        </w:tabs>
        <w:jc w:val="center"/>
        <w:rPr>
          <w:b/>
          <w:bCs/>
          <w:caps/>
          <w:color w:val="auto"/>
        </w:rPr>
      </w:pPr>
      <w:r>
        <w:rPr>
          <w:b/>
          <w:bCs/>
          <w:caps/>
          <w:noProof/>
          <w:color w:val="auto"/>
        </w:rPr>
        <w:drawing>
          <wp:inline distT="0" distB="0" distL="0" distR="0">
            <wp:extent cx="1905000" cy="1097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097280"/>
                    </a:xfrm>
                    <a:prstGeom prst="rect">
                      <a:avLst/>
                    </a:prstGeom>
                    <a:noFill/>
                    <a:ln>
                      <a:noFill/>
                    </a:ln>
                  </pic:spPr>
                </pic:pic>
              </a:graphicData>
            </a:graphic>
          </wp:inline>
        </w:drawing>
      </w:r>
    </w:p>
    <w:p w:rsidR="00DD5FC8" w:rsidRDefault="00DD5FC8">
      <w:pPr>
        <w:tabs>
          <w:tab w:val="left" w:pos="720"/>
        </w:tabs>
        <w:rPr>
          <w:b/>
          <w:bCs/>
          <w:caps/>
          <w:color w:val="auto"/>
        </w:rPr>
      </w:pPr>
    </w:p>
    <w:p w:rsidR="00DD5FC8" w:rsidRDefault="00DD5FC8">
      <w:pPr>
        <w:tabs>
          <w:tab w:val="left" w:pos="720"/>
        </w:tabs>
        <w:rPr>
          <w:b/>
          <w:bCs/>
          <w:caps/>
          <w:color w:val="auto"/>
          <w:sz w:val="32"/>
          <w:szCs w:val="32"/>
        </w:rPr>
      </w:pPr>
    </w:p>
    <w:p w:rsidR="00DD5FC8" w:rsidRDefault="00DD5FC8">
      <w:pPr>
        <w:tabs>
          <w:tab w:val="left" w:pos="720"/>
        </w:tabs>
        <w:rPr>
          <w:b/>
          <w:bCs/>
          <w:caps/>
          <w:color w:val="auto"/>
          <w:sz w:val="32"/>
          <w:szCs w:val="32"/>
        </w:rPr>
      </w:pPr>
    </w:p>
    <w:p w:rsidR="00DD5FC8" w:rsidRDefault="00A80091">
      <w:pPr>
        <w:jc w:val="center"/>
        <w:rPr>
          <w:b/>
          <w:color w:val="auto"/>
          <w:sz w:val="28"/>
          <w:szCs w:val="28"/>
        </w:rPr>
      </w:pPr>
      <w:r>
        <w:rPr>
          <w:b/>
          <w:bCs/>
          <w:caps/>
          <w:color w:val="auto"/>
          <w:sz w:val="28"/>
          <w:szCs w:val="28"/>
        </w:rPr>
        <w:t>DIRECT TESTIMONY</w:t>
      </w:r>
    </w:p>
    <w:p w:rsidR="00DD5FC8" w:rsidRDefault="00A80091">
      <w:pPr>
        <w:jc w:val="center"/>
        <w:rPr>
          <w:b/>
          <w:color w:val="auto"/>
          <w:sz w:val="28"/>
          <w:szCs w:val="28"/>
        </w:rPr>
      </w:pPr>
      <w:r>
        <w:rPr>
          <w:b/>
          <w:bCs/>
          <w:caps/>
          <w:color w:val="auto"/>
          <w:sz w:val="28"/>
          <w:szCs w:val="28"/>
        </w:rPr>
        <w:t>OF</w:t>
      </w:r>
    </w:p>
    <w:p w:rsidR="00DD5FC8" w:rsidRDefault="00A80091">
      <w:pPr>
        <w:jc w:val="center"/>
        <w:rPr>
          <w:b/>
          <w:sz w:val="28"/>
          <w:szCs w:val="28"/>
        </w:rPr>
      </w:pPr>
      <w:r>
        <w:rPr>
          <w:b/>
          <w:sz w:val="28"/>
          <w:szCs w:val="28"/>
        </w:rPr>
        <w:t>TAB R. URBANTKE</w:t>
      </w:r>
    </w:p>
    <w:p w:rsidR="00DD5FC8" w:rsidRDefault="00DD5FC8">
      <w:pPr>
        <w:jc w:val="center"/>
        <w:rPr>
          <w:b/>
          <w:sz w:val="28"/>
          <w:szCs w:val="28"/>
        </w:rPr>
      </w:pPr>
    </w:p>
    <w:p w:rsidR="00DD5FC8" w:rsidRDefault="00DD5FC8">
      <w:pPr>
        <w:jc w:val="center"/>
        <w:rPr>
          <w:b/>
          <w:sz w:val="28"/>
          <w:szCs w:val="28"/>
        </w:rPr>
      </w:pPr>
    </w:p>
    <w:p w:rsidR="00DD5FC8" w:rsidRDefault="00DD5FC8">
      <w:pPr>
        <w:jc w:val="center"/>
        <w:rPr>
          <w:b/>
          <w:color w:val="auto"/>
          <w:sz w:val="28"/>
          <w:szCs w:val="28"/>
        </w:rPr>
      </w:pPr>
    </w:p>
    <w:p w:rsidR="00DD5FC8" w:rsidRDefault="00DD5FC8">
      <w:pPr>
        <w:tabs>
          <w:tab w:val="left" w:pos="720"/>
        </w:tabs>
        <w:jc w:val="center"/>
        <w:rPr>
          <w:b/>
          <w:bCs/>
          <w:color w:val="auto"/>
          <w:sz w:val="28"/>
          <w:szCs w:val="28"/>
        </w:rPr>
      </w:pPr>
    </w:p>
    <w:p w:rsidR="00DD5FC8" w:rsidRDefault="00DD5FC8">
      <w:pPr>
        <w:tabs>
          <w:tab w:val="left" w:pos="720"/>
        </w:tabs>
        <w:jc w:val="center"/>
        <w:rPr>
          <w:b/>
          <w:bCs/>
          <w:color w:val="auto"/>
          <w:sz w:val="28"/>
          <w:szCs w:val="28"/>
        </w:rPr>
      </w:pPr>
    </w:p>
    <w:p w:rsidR="00DD5FC8" w:rsidRDefault="00A80091">
      <w:pPr>
        <w:pStyle w:val="BodyText2"/>
      </w:pPr>
      <w:r>
        <w:t>WITNESS FOR THE CITY OF AUSTIN</w:t>
      </w:r>
      <w:r>
        <w:br/>
        <w:t>D/B/A AUSTIN WATER</w:t>
      </w:r>
    </w:p>
    <w:p w:rsidR="00DD5FC8" w:rsidRDefault="00DD5FC8">
      <w:pPr>
        <w:tabs>
          <w:tab w:val="left" w:pos="720"/>
        </w:tabs>
        <w:rPr>
          <w:rFonts w:ascii="Times New Roman Bold" w:hAnsi="Times New Roman Bold" w:cs="Times New Roman Bold"/>
          <w:b/>
          <w:bCs/>
          <w:caps/>
          <w:color w:val="auto"/>
        </w:rPr>
      </w:pPr>
    </w:p>
    <w:p w:rsidR="00DD5FC8" w:rsidRDefault="00DD5FC8">
      <w:pPr>
        <w:tabs>
          <w:tab w:val="left" w:pos="720"/>
        </w:tabs>
        <w:jc w:val="both"/>
        <w:rPr>
          <w:color w:val="auto"/>
        </w:rPr>
      </w:pPr>
    </w:p>
    <w:p w:rsidR="00DD5FC8" w:rsidRDefault="00DD5FC8">
      <w:pPr>
        <w:tabs>
          <w:tab w:val="left" w:pos="720"/>
        </w:tabs>
        <w:jc w:val="both"/>
        <w:rPr>
          <w:color w:val="auto"/>
        </w:rPr>
      </w:pPr>
    </w:p>
    <w:p w:rsidR="00DD5FC8" w:rsidRDefault="00DD5FC8">
      <w:pPr>
        <w:tabs>
          <w:tab w:val="left" w:pos="720"/>
        </w:tabs>
        <w:jc w:val="both"/>
        <w:rPr>
          <w:color w:val="auto"/>
        </w:rPr>
      </w:pPr>
    </w:p>
    <w:p w:rsidR="00DD5FC8" w:rsidRDefault="00DD5FC8">
      <w:pPr>
        <w:tabs>
          <w:tab w:val="left" w:pos="720"/>
        </w:tabs>
        <w:jc w:val="both"/>
        <w:rPr>
          <w:color w:val="auto"/>
        </w:rPr>
      </w:pPr>
    </w:p>
    <w:p w:rsidR="00DD5FC8" w:rsidRDefault="00DD5FC8">
      <w:pPr>
        <w:tabs>
          <w:tab w:val="left" w:pos="720"/>
        </w:tabs>
        <w:rPr>
          <w:rFonts w:ascii="Times New Roman Bold" w:hAnsi="Times New Roman Bold" w:cs="Times New Roman Bold"/>
          <w:b/>
          <w:bCs/>
          <w:caps/>
          <w:color w:val="auto"/>
        </w:rPr>
      </w:pPr>
    </w:p>
    <w:p w:rsidR="00DD5FC8" w:rsidRDefault="00DD5FC8">
      <w:pPr>
        <w:tabs>
          <w:tab w:val="left" w:pos="720"/>
        </w:tabs>
        <w:jc w:val="both"/>
        <w:rPr>
          <w:color w:val="auto"/>
        </w:rPr>
      </w:pPr>
    </w:p>
    <w:p w:rsidR="00DD5FC8" w:rsidRDefault="00DD5FC8">
      <w:pPr>
        <w:tabs>
          <w:tab w:val="left" w:pos="720"/>
        </w:tabs>
        <w:rPr>
          <w:color w:val="auto"/>
        </w:rPr>
      </w:pPr>
    </w:p>
    <w:p w:rsidR="00DD5FC8" w:rsidRDefault="00DD5FC8">
      <w:pPr>
        <w:tabs>
          <w:tab w:val="left" w:pos="720"/>
        </w:tabs>
        <w:jc w:val="both"/>
        <w:rPr>
          <w:color w:val="auto"/>
        </w:rPr>
      </w:pPr>
    </w:p>
    <w:p w:rsidR="00DD5FC8" w:rsidRDefault="00DD5FC8">
      <w:pPr>
        <w:tabs>
          <w:tab w:val="left" w:pos="720"/>
        </w:tabs>
        <w:jc w:val="both"/>
        <w:rPr>
          <w:color w:val="auto"/>
        </w:rPr>
      </w:pPr>
    </w:p>
    <w:p w:rsidR="00DD5FC8" w:rsidRDefault="00DD5FC8">
      <w:pPr>
        <w:tabs>
          <w:tab w:val="left" w:pos="720"/>
        </w:tabs>
        <w:jc w:val="both"/>
        <w:rPr>
          <w:color w:val="auto"/>
        </w:rPr>
      </w:pPr>
    </w:p>
    <w:p w:rsidR="00DD5FC8" w:rsidRDefault="00DD5FC8">
      <w:pPr>
        <w:tabs>
          <w:tab w:val="left" w:pos="720"/>
        </w:tabs>
        <w:jc w:val="both"/>
        <w:rPr>
          <w:color w:val="auto"/>
        </w:rPr>
      </w:pPr>
    </w:p>
    <w:p w:rsidR="00DD5FC8" w:rsidRDefault="00DD5FC8">
      <w:pPr>
        <w:tabs>
          <w:tab w:val="left" w:pos="720"/>
        </w:tabs>
        <w:jc w:val="both"/>
        <w:rPr>
          <w:color w:val="auto"/>
        </w:rPr>
      </w:pPr>
    </w:p>
    <w:p w:rsidR="00DD5FC8" w:rsidRDefault="00DD5FC8">
      <w:pPr>
        <w:tabs>
          <w:tab w:val="left" w:pos="720"/>
        </w:tabs>
        <w:jc w:val="both"/>
        <w:rPr>
          <w:color w:val="auto"/>
        </w:rPr>
      </w:pPr>
    </w:p>
    <w:p w:rsidR="00DD5FC8" w:rsidRDefault="00DD5FC8">
      <w:pPr>
        <w:tabs>
          <w:tab w:val="left" w:pos="720"/>
        </w:tabs>
        <w:jc w:val="both"/>
        <w:rPr>
          <w:color w:val="auto"/>
        </w:rPr>
      </w:pPr>
    </w:p>
    <w:p w:rsidR="00DD5FC8" w:rsidRDefault="00A80091">
      <w:pPr>
        <w:tabs>
          <w:tab w:val="left" w:pos="720"/>
        </w:tabs>
        <w:spacing w:after="240"/>
        <w:jc w:val="center"/>
        <w:rPr>
          <w:rFonts w:ascii="Times New Roman Bold" w:hAnsi="Times New Roman Bold" w:cs="Times New Roman Bold"/>
          <w:b/>
          <w:bCs/>
          <w:caps/>
          <w:color w:val="auto"/>
        </w:rPr>
        <w:sectPr w:rsidR="00DD5FC8">
          <w:footerReference w:type="first" r:id="rId9"/>
          <w:type w:val="continuous"/>
          <w:pgSz w:w="12240" w:h="15840" w:code="1"/>
          <w:pgMar w:top="1440" w:right="1440" w:bottom="1440" w:left="1800" w:header="720" w:footer="720" w:gutter="0"/>
          <w:cols w:space="720"/>
          <w:docGrid w:linePitch="326"/>
        </w:sectPr>
      </w:pPr>
      <w:r>
        <w:rPr>
          <w:rFonts w:ascii="Times New Roman Bold" w:hAnsi="Times New Roman Bold" w:cs="Times New Roman Bold"/>
          <w:b/>
          <w:bCs/>
          <w:caps/>
          <w:color w:val="auto"/>
        </w:rPr>
        <w:t>april</w:t>
      </w:r>
      <w:r w:rsidR="000E29F6">
        <w:rPr>
          <w:rFonts w:ascii="Times New Roman Bold" w:hAnsi="Times New Roman Bold" w:cs="Times New Roman Bold"/>
          <w:b/>
          <w:bCs/>
          <w:caps/>
          <w:color w:val="auto"/>
        </w:rPr>
        <w:t xml:space="preserve"> </w:t>
      </w:r>
      <w:r>
        <w:rPr>
          <w:rFonts w:ascii="Times New Roman Bold" w:hAnsi="Times New Roman Bold" w:cs="Times New Roman Bold"/>
          <w:b/>
          <w:bCs/>
          <w:caps/>
          <w:color w:val="auto"/>
        </w:rPr>
        <w:t>2019</w:t>
      </w:r>
    </w:p>
    <w:p w:rsidR="00DD5FC8" w:rsidRDefault="00A80091">
      <w:pPr>
        <w:pStyle w:val="LGCaption"/>
        <w:rPr>
          <w:b/>
          <w:szCs w:val="24"/>
          <w:u w:val="single"/>
        </w:rPr>
      </w:pPr>
      <w:r>
        <w:rPr>
          <w:b/>
          <w:szCs w:val="24"/>
          <w:u w:val="single"/>
        </w:rPr>
        <w:lastRenderedPageBreak/>
        <w:t>TABLE OF CONTENTS</w:t>
      </w:r>
    </w:p>
    <w:p w:rsidR="00DD5FC8" w:rsidRDefault="00A80091">
      <w:pPr>
        <w:jc w:val="right"/>
        <w:rPr>
          <w:b/>
        </w:rPr>
      </w:pPr>
      <w:r>
        <w:tab/>
      </w:r>
      <w:r>
        <w:rPr>
          <w:b/>
        </w:rPr>
        <w:t>Page</w:t>
      </w:r>
    </w:p>
    <w:p w:rsidR="00DD5FC8" w:rsidRDefault="00DD5FC8">
      <w:pPr>
        <w:jc w:val="right"/>
        <w:rPr>
          <w:b/>
        </w:rPr>
      </w:pPr>
    </w:p>
    <w:p w:rsidR="0023092B" w:rsidRDefault="00A80091">
      <w:pPr>
        <w:pStyle w:val="TOC1"/>
        <w:rPr>
          <w:rFonts w:asciiTheme="minorHAnsi" w:eastAsiaTheme="minorEastAsia" w:hAnsiTheme="minorHAnsi" w:cstheme="minorBidi"/>
          <w:bCs w:val="0"/>
          <w:caps w:val="0"/>
          <w:color w:val="auto"/>
          <w:sz w:val="22"/>
          <w:szCs w:val="22"/>
        </w:rPr>
      </w:pPr>
      <w:r>
        <w:fldChar w:fldCharType="begin"/>
      </w:r>
      <w:r>
        <w:instrText xml:space="preserve"> TOC \t "Heading 1,1,Heading 2,2,Heading 3,3,Heading 4,4" \h </w:instrText>
      </w:r>
      <w:r>
        <w:fldChar w:fldCharType="separate"/>
      </w:r>
      <w:hyperlink w:anchor="_Toc5787575" w:history="1">
        <w:r w:rsidR="0023092B" w:rsidRPr="00BC0D5E">
          <w:rPr>
            <w:rStyle w:val="Hyperlink"/>
          </w:rPr>
          <w:t>I.</w:t>
        </w:r>
        <w:r w:rsidR="0023092B">
          <w:rPr>
            <w:rFonts w:asciiTheme="minorHAnsi" w:eastAsiaTheme="minorEastAsia" w:hAnsiTheme="minorHAnsi" w:cstheme="minorBidi"/>
            <w:bCs w:val="0"/>
            <w:caps w:val="0"/>
            <w:color w:val="auto"/>
            <w:sz w:val="22"/>
            <w:szCs w:val="22"/>
          </w:rPr>
          <w:tab/>
        </w:r>
        <w:r w:rsidR="0023092B" w:rsidRPr="00BC0D5E">
          <w:rPr>
            <w:rStyle w:val="Hyperlink"/>
          </w:rPr>
          <w:t>introduction</w:t>
        </w:r>
        <w:r w:rsidR="0023092B">
          <w:tab/>
        </w:r>
        <w:r w:rsidR="0023092B">
          <w:fldChar w:fldCharType="begin"/>
        </w:r>
        <w:r w:rsidR="0023092B">
          <w:instrText xml:space="preserve"> PAGEREF _Toc5787575 \h </w:instrText>
        </w:r>
        <w:r w:rsidR="0023092B">
          <w:fldChar w:fldCharType="separate"/>
        </w:r>
        <w:r w:rsidR="000E1318">
          <w:t>3</w:t>
        </w:r>
        <w:r w:rsidR="0023092B">
          <w:fldChar w:fldCharType="end"/>
        </w:r>
      </w:hyperlink>
    </w:p>
    <w:p w:rsidR="0023092B" w:rsidRDefault="000E1318">
      <w:pPr>
        <w:pStyle w:val="TOC1"/>
        <w:rPr>
          <w:rFonts w:asciiTheme="minorHAnsi" w:eastAsiaTheme="minorEastAsia" w:hAnsiTheme="minorHAnsi" w:cstheme="minorBidi"/>
          <w:bCs w:val="0"/>
          <w:caps w:val="0"/>
          <w:color w:val="auto"/>
          <w:sz w:val="22"/>
          <w:szCs w:val="22"/>
        </w:rPr>
      </w:pPr>
      <w:hyperlink w:anchor="_Toc5787576" w:history="1">
        <w:r w:rsidR="0023092B" w:rsidRPr="00BC0D5E">
          <w:rPr>
            <w:rStyle w:val="Hyperlink"/>
          </w:rPr>
          <w:t>II.</w:t>
        </w:r>
        <w:r w:rsidR="0023092B">
          <w:rPr>
            <w:rFonts w:asciiTheme="minorHAnsi" w:eastAsiaTheme="minorEastAsia" w:hAnsiTheme="minorHAnsi" w:cstheme="minorBidi"/>
            <w:bCs w:val="0"/>
            <w:caps w:val="0"/>
            <w:color w:val="auto"/>
            <w:sz w:val="22"/>
            <w:szCs w:val="22"/>
          </w:rPr>
          <w:tab/>
        </w:r>
        <w:r w:rsidR="0023092B" w:rsidRPr="00BC0D5E">
          <w:rPr>
            <w:rStyle w:val="Hyperlink"/>
          </w:rPr>
          <w:t>PURPOSE OF direct TESTIMONY</w:t>
        </w:r>
        <w:r w:rsidR="0023092B">
          <w:tab/>
        </w:r>
        <w:r w:rsidR="0023092B">
          <w:fldChar w:fldCharType="begin"/>
        </w:r>
        <w:r w:rsidR="0023092B">
          <w:instrText xml:space="preserve"> PAGEREF _Toc5787576 \h </w:instrText>
        </w:r>
        <w:r w:rsidR="0023092B">
          <w:fldChar w:fldCharType="separate"/>
        </w:r>
        <w:r>
          <w:t>3</w:t>
        </w:r>
        <w:r w:rsidR="0023092B">
          <w:fldChar w:fldCharType="end"/>
        </w:r>
      </w:hyperlink>
    </w:p>
    <w:p w:rsidR="0023092B" w:rsidRDefault="000E1318">
      <w:pPr>
        <w:pStyle w:val="TOC1"/>
        <w:rPr>
          <w:rFonts w:asciiTheme="minorHAnsi" w:eastAsiaTheme="minorEastAsia" w:hAnsiTheme="minorHAnsi" w:cstheme="minorBidi"/>
          <w:bCs w:val="0"/>
          <w:caps w:val="0"/>
          <w:color w:val="auto"/>
          <w:sz w:val="22"/>
          <w:szCs w:val="22"/>
        </w:rPr>
      </w:pPr>
      <w:hyperlink w:anchor="_Toc5787577" w:history="1">
        <w:r w:rsidR="0023092B" w:rsidRPr="00BC0D5E">
          <w:rPr>
            <w:rStyle w:val="Hyperlink"/>
          </w:rPr>
          <w:t>III.</w:t>
        </w:r>
        <w:r w:rsidR="0023092B">
          <w:rPr>
            <w:rFonts w:asciiTheme="minorHAnsi" w:eastAsiaTheme="minorEastAsia" w:hAnsiTheme="minorHAnsi" w:cstheme="minorBidi"/>
            <w:bCs w:val="0"/>
            <w:caps w:val="0"/>
            <w:color w:val="auto"/>
            <w:sz w:val="22"/>
            <w:szCs w:val="22"/>
          </w:rPr>
          <w:tab/>
        </w:r>
        <w:r w:rsidR="0023092B" w:rsidRPr="00BC0D5E">
          <w:rPr>
            <w:rStyle w:val="Hyperlink"/>
          </w:rPr>
          <w:t>qualifications</w:t>
        </w:r>
        <w:r w:rsidR="0023092B">
          <w:tab/>
        </w:r>
        <w:r w:rsidR="0023092B">
          <w:fldChar w:fldCharType="begin"/>
        </w:r>
        <w:r w:rsidR="0023092B">
          <w:instrText xml:space="preserve"> PAGEREF _Toc5787577 \h </w:instrText>
        </w:r>
        <w:r w:rsidR="0023092B">
          <w:fldChar w:fldCharType="separate"/>
        </w:r>
        <w:r>
          <w:t>4</w:t>
        </w:r>
        <w:r w:rsidR="0023092B">
          <w:fldChar w:fldCharType="end"/>
        </w:r>
      </w:hyperlink>
    </w:p>
    <w:p w:rsidR="0023092B" w:rsidRDefault="000E1318">
      <w:pPr>
        <w:pStyle w:val="TOC1"/>
        <w:rPr>
          <w:rFonts w:asciiTheme="minorHAnsi" w:eastAsiaTheme="minorEastAsia" w:hAnsiTheme="minorHAnsi" w:cstheme="minorBidi"/>
          <w:bCs w:val="0"/>
          <w:caps w:val="0"/>
          <w:color w:val="auto"/>
          <w:sz w:val="22"/>
          <w:szCs w:val="22"/>
        </w:rPr>
      </w:pPr>
      <w:hyperlink w:anchor="_Toc5787578" w:history="1">
        <w:r w:rsidR="0023092B" w:rsidRPr="00BC0D5E">
          <w:rPr>
            <w:rStyle w:val="Hyperlink"/>
          </w:rPr>
          <w:t>IV.</w:t>
        </w:r>
        <w:r w:rsidR="0023092B">
          <w:rPr>
            <w:rFonts w:asciiTheme="minorHAnsi" w:eastAsiaTheme="minorEastAsia" w:hAnsiTheme="minorHAnsi" w:cstheme="minorBidi"/>
            <w:bCs w:val="0"/>
            <w:caps w:val="0"/>
            <w:color w:val="auto"/>
            <w:sz w:val="22"/>
            <w:szCs w:val="22"/>
          </w:rPr>
          <w:tab/>
        </w:r>
        <w:r w:rsidR="0023092B" w:rsidRPr="00BC0D5E">
          <w:rPr>
            <w:rStyle w:val="Hyperlink"/>
          </w:rPr>
          <w:t>STANDARDS FOR rate case expense RECOVERY</w:t>
        </w:r>
        <w:r w:rsidR="0023092B">
          <w:tab/>
        </w:r>
        <w:r w:rsidR="0023092B">
          <w:fldChar w:fldCharType="begin"/>
        </w:r>
        <w:r w:rsidR="0023092B">
          <w:instrText xml:space="preserve"> PAGEREF _Toc5787578 \h </w:instrText>
        </w:r>
        <w:r w:rsidR="0023092B">
          <w:fldChar w:fldCharType="separate"/>
        </w:r>
        <w:r>
          <w:t>7</w:t>
        </w:r>
        <w:r w:rsidR="0023092B">
          <w:fldChar w:fldCharType="end"/>
        </w:r>
      </w:hyperlink>
    </w:p>
    <w:p w:rsidR="0023092B" w:rsidRDefault="000E1318">
      <w:pPr>
        <w:pStyle w:val="TOC1"/>
        <w:rPr>
          <w:rFonts w:asciiTheme="minorHAnsi" w:eastAsiaTheme="minorEastAsia" w:hAnsiTheme="minorHAnsi" w:cstheme="minorBidi"/>
          <w:bCs w:val="0"/>
          <w:caps w:val="0"/>
          <w:color w:val="auto"/>
          <w:sz w:val="22"/>
          <w:szCs w:val="22"/>
        </w:rPr>
      </w:pPr>
      <w:hyperlink w:anchor="_Toc5787579" w:history="1">
        <w:r w:rsidR="0023092B" w:rsidRPr="00BC0D5E">
          <w:rPr>
            <w:rStyle w:val="Hyperlink"/>
          </w:rPr>
          <w:t>V.</w:t>
        </w:r>
        <w:r w:rsidR="0023092B">
          <w:rPr>
            <w:rFonts w:asciiTheme="minorHAnsi" w:eastAsiaTheme="minorEastAsia" w:hAnsiTheme="minorHAnsi" w:cstheme="minorBidi"/>
            <w:bCs w:val="0"/>
            <w:caps w:val="0"/>
            <w:color w:val="auto"/>
            <w:sz w:val="22"/>
            <w:szCs w:val="22"/>
          </w:rPr>
          <w:tab/>
        </w:r>
        <w:r w:rsidR="0023092B" w:rsidRPr="00BC0D5E">
          <w:rPr>
            <w:rStyle w:val="Hyperlink"/>
          </w:rPr>
          <w:t>REVIEW METHODOLOGY</w:t>
        </w:r>
        <w:r w:rsidR="0023092B">
          <w:tab/>
        </w:r>
        <w:r w:rsidR="0023092B">
          <w:fldChar w:fldCharType="begin"/>
        </w:r>
        <w:r w:rsidR="0023092B">
          <w:instrText xml:space="preserve"> PAGEREF _Toc5787579 \h </w:instrText>
        </w:r>
        <w:r w:rsidR="0023092B">
          <w:fldChar w:fldCharType="separate"/>
        </w:r>
        <w:r>
          <w:t>14</w:t>
        </w:r>
        <w:r w:rsidR="0023092B">
          <w:fldChar w:fldCharType="end"/>
        </w:r>
      </w:hyperlink>
    </w:p>
    <w:p w:rsidR="0023092B" w:rsidRDefault="000E1318">
      <w:pPr>
        <w:pStyle w:val="TOC1"/>
        <w:rPr>
          <w:rFonts w:asciiTheme="minorHAnsi" w:eastAsiaTheme="minorEastAsia" w:hAnsiTheme="minorHAnsi" w:cstheme="minorBidi"/>
          <w:bCs w:val="0"/>
          <w:caps w:val="0"/>
          <w:color w:val="auto"/>
          <w:sz w:val="22"/>
          <w:szCs w:val="22"/>
        </w:rPr>
      </w:pPr>
      <w:hyperlink w:anchor="_Toc5787580" w:history="1">
        <w:r w:rsidR="0023092B" w:rsidRPr="00BC0D5E">
          <w:rPr>
            <w:rStyle w:val="Hyperlink"/>
          </w:rPr>
          <w:t>VI.</w:t>
        </w:r>
        <w:r w:rsidR="0023092B">
          <w:rPr>
            <w:rFonts w:asciiTheme="minorHAnsi" w:eastAsiaTheme="minorEastAsia" w:hAnsiTheme="minorHAnsi" w:cstheme="minorBidi"/>
            <w:bCs w:val="0"/>
            <w:caps w:val="0"/>
            <w:color w:val="auto"/>
            <w:sz w:val="22"/>
            <w:szCs w:val="22"/>
          </w:rPr>
          <w:tab/>
        </w:r>
        <w:r w:rsidR="0023092B" w:rsidRPr="00BC0D5E">
          <w:rPr>
            <w:rStyle w:val="Hyperlink"/>
          </w:rPr>
          <w:t>RESULTS OF REVIEW</w:t>
        </w:r>
        <w:r w:rsidR="0023092B">
          <w:tab/>
        </w:r>
        <w:r w:rsidR="0023092B">
          <w:fldChar w:fldCharType="begin"/>
        </w:r>
        <w:r w:rsidR="0023092B">
          <w:instrText xml:space="preserve"> PAGEREF _Toc5787580 \h </w:instrText>
        </w:r>
        <w:r w:rsidR="0023092B">
          <w:fldChar w:fldCharType="separate"/>
        </w:r>
        <w:r>
          <w:t>16</w:t>
        </w:r>
        <w:r w:rsidR="0023092B">
          <w:fldChar w:fldCharType="end"/>
        </w:r>
      </w:hyperlink>
    </w:p>
    <w:p w:rsidR="0023092B" w:rsidRDefault="000E1318">
      <w:pPr>
        <w:pStyle w:val="TOC1"/>
        <w:rPr>
          <w:rFonts w:asciiTheme="minorHAnsi" w:eastAsiaTheme="minorEastAsia" w:hAnsiTheme="minorHAnsi" w:cstheme="minorBidi"/>
          <w:bCs w:val="0"/>
          <w:caps w:val="0"/>
          <w:color w:val="auto"/>
          <w:sz w:val="22"/>
          <w:szCs w:val="22"/>
        </w:rPr>
      </w:pPr>
      <w:hyperlink w:anchor="_Toc5787581" w:history="1">
        <w:r w:rsidR="0023092B" w:rsidRPr="00BC0D5E">
          <w:rPr>
            <w:rStyle w:val="Hyperlink"/>
          </w:rPr>
          <w:t>VII.</w:t>
        </w:r>
        <w:r w:rsidR="0023092B">
          <w:rPr>
            <w:rFonts w:asciiTheme="minorHAnsi" w:eastAsiaTheme="minorEastAsia" w:hAnsiTheme="minorHAnsi" w:cstheme="minorBidi"/>
            <w:bCs w:val="0"/>
            <w:caps w:val="0"/>
            <w:color w:val="auto"/>
            <w:sz w:val="22"/>
            <w:szCs w:val="22"/>
          </w:rPr>
          <w:tab/>
        </w:r>
        <w:r w:rsidR="0023092B" w:rsidRPr="00BC0D5E">
          <w:rPr>
            <w:rStyle w:val="Hyperlink"/>
          </w:rPr>
          <w:t>OPINIONS AND CONCLUSIONS</w:t>
        </w:r>
        <w:r w:rsidR="0023092B">
          <w:tab/>
        </w:r>
        <w:r w:rsidR="0023092B">
          <w:fldChar w:fldCharType="begin"/>
        </w:r>
        <w:r w:rsidR="0023092B">
          <w:instrText xml:space="preserve"> PAGEREF _Toc5787581 \h </w:instrText>
        </w:r>
        <w:r w:rsidR="0023092B">
          <w:fldChar w:fldCharType="separate"/>
        </w:r>
        <w:r>
          <w:t>21</w:t>
        </w:r>
        <w:r w:rsidR="0023092B">
          <w:fldChar w:fldCharType="end"/>
        </w:r>
      </w:hyperlink>
    </w:p>
    <w:p w:rsidR="0023092B" w:rsidRDefault="000E1318">
      <w:pPr>
        <w:pStyle w:val="TOC1"/>
        <w:rPr>
          <w:rFonts w:asciiTheme="minorHAnsi" w:eastAsiaTheme="minorEastAsia" w:hAnsiTheme="minorHAnsi" w:cstheme="minorBidi"/>
          <w:bCs w:val="0"/>
          <w:caps w:val="0"/>
          <w:color w:val="auto"/>
          <w:sz w:val="22"/>
          <w:szCs w:val="22"/>
        </w:rPr>
      </w:pPr>
      <w:hyperlink w:anchor="_Toc5787582" w:history="1">
        <w:r w:rsidR="0023092B" w:rsidRPr="00BC0D5E">
          <w:rPr>
            <w:rStyle w:val="Hyperlink"/>
          </w:rPr>
          <w:t>VIII.</w:t>
        </w:r>
        <w:r w:rsidR="0023092B">
          <w:rPr>
            <w:rFonts w:asciiTheme="minorHAnsi" w:eastAsiaTheme="minorEastAsia" w:hAnsiTheme="minorHAnsi" w:cstheme="minorBidi"/>
            <w:bCs w:val="0"/>
            <w:caps w:val="0"/>
            <w:color w:val="auto"/>
            <w:sz w:val="22"/>
            <w:szCs w:val="22"/>
          </w:rPr>
          <w:tab/>
        </w:r>
        <w:r w:rsidR="0023092B" w:rsidRPr="00BC0D5E">
          <w:rPr>
            <w:rStyle w:val="Hyperlink"/>
          </w:rPr>
          <w:t>conclusion</w:t>
        </w:r>
        <w:r w:rsidR="0023092B">
          <w:tab/>
        </w:r>
        <w:r w:rsidR="0023092B">
          <w:fldChar w:fldCharType="begin"/>
        </w:r>
        <w:r w:rsidR="0023092B">
          <w:instrText xml:space="preserve"> PAGEREF _Toc5787582 \h </w:instrText>
        </w:r>
        <w:r w:rsidR="0023092B">
          <w:fldChar w:fldCharType="separate"/>
        </w:r>
        <w:r>
          <w:t>28</w:t>
        </w:r>
        <w:r w:rsidR="0023092B">
          <w:fldChar w:fldCharType="end"/>
        </w:r>
      </w:hyperlink>
    </w:p>
    <w:p w:rsidR="00DD5FC8" w:rsidRDefault="00A80091">
      <w:pPr>
        <w:tabs>
          <w:tab w:val="left" w:pos="720"/>
        </w:tabs>
        <w:jc w:val="both"/>
        <w:rPr>
          <w:bCs/>
          <w:color w:val="auto"/>
          <w:u w:val="single"/>
        </w:rPr>
      </w:pPr>
      <w:r>
        <w:rPr>
          <w:rFonts w:ascii="Times New Roman Bold" w:hAnsi="Times New Roman Bold" w:cs="Times New Roman Bold"/>
          <w:b/>
          <w:bCs/>
          <w:caps/>
          <w:noProof/>
        </w:rPr>
        <w:fldChar w:fldCharType="end"/>
      </w:r>
    </w:p>
    <w:p w:rsidR="00DD5FC8" w:rsidRDefault="00A80091">
      <w:pPr>
        <w:tabs>
          <w:tab w:val="left" w:pos="720"/>
        </w:tabs>
        <w:jc w:val="both"/>
        <w:rPr>
          <w:b/>
          <w:bCs/>
          <w:color w:val="auto"/>
          <w:u w:val="single"/>
        </w:rPr>
      </w:pPr>
      <w:r>
        <w:rPr>
          <w:b/>
          <w:bCs/>
          <w:color w:val="auto"/>
          <w:u w:val="single"/>
        </w:rPr>
        <w:t xml:space="preserve">ATTACHMENTS </w:t>
      </w:r>
    </w:p>
    <w:p w:rsidR="00DD5FC8" w:rsidRDefault="00DD5FC8">
      <w:pPr>
        <w:tabs>
          <w:tab w:val="left" w:pos="720"/>
        </w:tabs>
        <w:jc w:val="both"/>
        <w:rPr>
          <w:color w:val="auto"/>
        </w:rPr>
      </w:pPr>
    </w:p>
    <w:p w:rsidR="00DD5FC8" w:rsidRDefault="00A80091" w:rsidP="00D45D6E">
      <w:pPr>
        <w:tabs>
          <w:tab w:val="left" w:pos="1080"/>
        </w:tabs>
      </w:pPr>
      <w:r>
        <w:t>TRU-1</w:t>
      </w:r>
      <w:r>
        <w:tab/>
        <w:t>Tab R. Urbantke Professional Bio</w:t>
      </w:r>
    </w:p>
    <w:p w:rsidR="00DD5FC8" w:rsidRDefault="00A80091" w:rsidP="00D45D6E">
      <w:pPr>
        <w:tabs>
          <w:tab w:val="left" w:pos="1080"/>
        </w:tabs>
      </w:pPr>
      <w:r>
        <w:t>TRU-2</w:t>
      </w:r>
      <w:r>
        <w:tab/>
        <w:t>Chart of Attorney Responsibilities and Hourly Billing Rates</w:t>
      </w:r>
      <w:bookmarkStart w:id="0" w:name="_GoBack"/>
      <w:bookmarkEnd w:id="0"/>
    </w:p>
    <w:p w:rsidR="00DD5FC8" w:rsidRDefault="00DD5FC8" w:rsidP="00D45D6E">
      <w:pPr>
        <w:tabs>
          <w:tab w:val="left" w:pos="1080"/>
          <w:tab w:val="left" w:pos="1800"/>
        </w:tabs>
      </w:pPr>
    </w:p>
    <w:p w:rsidR="00D45D6E" w:rsidRPr="000E1318" w:rsidRDefault="00D45D6E" w:rsidP="000E1318">
      <w:pPr>
        <w:pStyle w:val="LGSubtitle"/>
        <w:tabs>
          <w:tab w:val="left" w:pos="1080"/>
          <w:tab w:val="left" w:pos="1800"/>
        </w:tabs>
        <w:spacing w:after="0"/>
        <w:rPr>
          <w:rFonts w:ascii="Times New Roman" w:eastAsia="Calibri" w:hAnsi="Times New Roman" w:cs="Times New Roman"/>
          <w:szCs w:val="24"/>
        </w:rPr>
      </w:pPr>
      <w:r w:rsidRPr="000E1318">
        <w:rPr>
          <w:rFonts w:ascii="Times New Roman" w:eastAsia="Calibri" w:hAnsi="Times New Roman" w:cs="Times New Roman"/>
          <w:szCs w:val="24"/>
        </w:rPr>
        <w:t>WORKPAPERS</w:t>
      </w:r>
    </w:p>
    <w:p w:rsidR="00D45D6E" w:rsidRPr="000E1318" w:rsidRDefault="00D45D6E" w:rsidP="000E1318">
      <w:pPr>
        <w:pStyle w:val="LGAnswer"/>
        <w:tabs>
          <w:tab w:val="left" w:pos="1080"/>
          <w:tab w:val="left" w:pos="1800"/>
        </w:tabs>
        <w:spacing w:after="0" w:line="240" w:lineRule="auto"/>
        <w:rPr>
          <w:rFonts w:eastAsia="Calibri"/>
        </w:rPr>
      </w:pPr>
    </w:p>
    <w:p w:rsidR="00FB64B9" w:rsidRDefault="00FB64B9" w:rsidP="00D45D6E">
      <w:pPr>
        <w:tabs>
          <w:tab w:val="left" w:pos="720"/>
          <w:tab w:val="left" w:pos="1080"/>
          <w:tab w:val="left" w:pos="1800"/>
        </w:tabs>
        <w:jc w:val="both"/>
        <w:rPr>
          <w:color w:val="auto"/>
        </w:rPr>
      </w:pPr>
      <w:r>
        <w:rPr>
          <w:color w:val="auto"/>
        </w:rPr>
        <w:t xml:space="preserve">WP/TRU </w:t>
      </w:r>
      <w:r w:rsidR="00D45D6E">
        <w:rPr>
          <w:color w:val="auto"/>
        </w:rPr>
        <w:tab/>
      </w:r>
      <w:r w:rsidR="000E1318">
        <w:rPr>
          <w:color w:val="auto"/>
        </w:rPr>
        <w:t>Work</w:t>
      </w:r>
      <w:r w:rsidR="00D45D6E">
        <w:rPr>
          <w:color w:val="auto"/>
        </w:rPr>
        <w:t>papers supporting testimony of Tab R. Ubantke</w:t>
      </w:r>
    </w:p>
    <w:p w:rsidR="004E4C26" w:rsidRPr="004E4C26" w:rsidRDefault="004E4C26">
      <w:pPr>
        <w:tabs>
          <w:tab w:val="left" w:pos="720"/>
          <w:tab w:val="left" w:pos="1800"/>
        </w:tabs>
        <w:jc w:val="both"/>
        <w:rPr>
          <w:color w:val="auto"/>
        </w:rPr>
      </w:pPr>
    </w:p>
    <w:p w:rsidR="00DD5FC8" w:rsidRDefault="00DD5FC8">
      <w:pPr>
        <w:tabs>
          <w:tab w:val="left" w:pos="720"/>
        </w:tabs>
        <w:ind w:left="1800" w:hanging="1800"/>
        <w:jc w:val="both"/>
        <w:rPr>
          <w:color w:val="auto"/>
        </w:rPr>
      </w:pPr>
    </w:p>
    <w:p w:rsidR="00DD5FC8" w:rsidRDefault="00DD5FC8">
      <w:pPr>
        <w:tabs>
          <w:tab w:val="left" w:pos="720"/>
        </w:tabs>
        <w:ind w:left="1800" w:hanging="1800"/>
        <w:jc w:val="both"/>
        <w:rPr>
          <w:color w:val="auto"/>
        </w:rPr>
        <w:sectPr w:rsidR="00DD5FC8">
          <w:footerReference w:type="default" r:id="rId10"/>
          <w:pgSz w:w="12240" w:h="15840" w:code="1"/>
          <w:pgMar w:top="1440" w:right="1440" w:bottom="1440" w:left="1800" w:header="720" w:footer="720" w:gutter="0"/>
          <w:cols w:space="720"/>
          <w:docGrid w:linePitch="326"/>
        </w:sectPr>
      </w:pPr>
    </w:p>
    <w:p w:rsidR="00DD5FC8" w:rsidRDefault="00A80091">
      <w:pPr>
        <w:pStyle w:val="Heading1"/>
      </w:pPr>
      <w:bookmarkStart w:id="1" w:name="_Toc335984898"/>
      <w:bookmarkStart w:id="2" w:name="_Toc335985163"/>
      <w:bookmarkStart w:id="3" w:name="_Toc5787575"/>
      <w:r>
        <w:lastRenderedPageBreak/>
        <w:t>introduction</w:t>
      </w:r>
      <w:bookmarkEnd w:id="1"/>
      <w:bookmarkEnd w:id="2"/>
      <w:bookmarkEnd w:id="3"/>
    </w:p>
    <w:p w:rsidR="00DD5FC8" w:rsidRDefault="00A80091">
      <w:pPr>
        <w:pStyle w:val="Questions"/>
      </w:pPr>
      <w:r>
        <w:t>Q</w:t>
      </w:r>
      <w:bookmarkStart w:id="4" w:name="_Toc288743301"/>
      <w:r>
        <w:tab/>
        <w:t xml:space="preserve">Please state your name, OCCUPATION, and business address. </w:t>
      </w:r>
    </w:p>
    <w:p w:rsidR="00DD5FC8" w:rsidRDefault="00A80091">
      <w:pPr>
        <w:pStyle w:val="Answers"/>
      </w:pPr>
      <w:r>
        <w:t>A.</w:t>
      </w:r>
      <w:r>
        <w:tab/>
        <w:t>My name is Tab R. Urbantke.  I am an attorney and partner in the law fir</w:t>
      </w:r>
      <w:r w:rsidR="00390542">
        <w:t>m of Hunton Andrews Kurth LLP (</w:t>
      </w:r>
      <w:r>
        <w:t>H</w:t>
      </w:r>
      <w:r w:rsidR="00390542">
        <w:t>AK</w:t>
      </w:r>
      <w:r>
        <w:t xml:space="preserve">).  My business address is 1445 Ross Avenue, Suite 3700, Dallas, Texas 75202. </w:t>
      </w:r>
    </w:p>
    <w:p w:rsidR="00DD5FC8" w:rsidRDefault="00A80091">
      <w:pPr>
        <w:pStyle w:val="Heading1"/>
      </w:pPr>
      <w:bookmarkStart w:id="5" w:name="_Toc5787576"/>
      <w:r>
        <w:t>PURPOSE OF direct TESTIMONY</w:t>
      </w:r>
      <w:bookmarkEnd w:id="5"/>
    </w:p>
    <w:p w:rsidR="00DD5FC8" w:rsidRDefault="00A80091">
      <w:pPr>
        <w:pStyle w:val="Questions"/>
      </w:pPr>
      <w:r>
        <w:t>Q.</w:t>
      </w:r>
      <w:r>
        <w:tab/>
        <w:t>On whose behalf are you testifying IN THIS PROCEEDING?</w:t>
      </w:r>
    </w:p>
    <w:p w:rsidR="00DD5FC8" w:rsidRDefault="00A80091">
      <w:pPr>
        <w:pStyle w:val="Answers"/>
      </w:pPr>
      <w:r>
        <w:t>A.</w:t>
      </w:r>
      <w:r>
        <w:tab/>
        <w:t>I am testifying on behalf of the City of Austin</w:t>
      </w:r>
      <w:r w:rsidR="00390542">
        <w:t xml:space="preserve"> (City)</w:t>
      </w:r>
      <w:r>
        <w:t>, doing business as Austin Water, a municipal water and sewer utility.</w:t>
      </w:r>
    </w:p>
    <w:p w:rsidR="00DD5FC8" w:rsidRDefault="00A80091">
      <w:pPr>
        <w:pStyle w:val="Questions"/>
        <w:keepNext/>
        <w:keepLines/>
      </w:pPr>
      <w:r>
        <w:t>Q.</w:t>
      </w:r>
      <w:r>
        <w:tab/>
        <w:t>What is the purpose of your DIRECT testimony?</w:t>
      </w:r>
    </w:p>
    <w:p w:rsidR="00DD5FC8" w:rsidRDefault="00A80091">
      <w:pPr>
        <w:pStyle w:val="Answers"/>
      </w:pPr>
      <w:r>
        <w:t>A.</w:t>
      </w:r>
      <w:r>
        <w:tab/>
        <w:t>The purpose of my direct testimony is to discuss and express my opinion regarding the reasonableness, necessity, and recoverability of the rate case expenses incurred by the City in this proceeding for outside legal counsel.  I will not offer an opinion as to the reasonableness of outside consultants’ fees, other than my own.  My understanding is that each consultant will provide individual testimony concerning the reasonableness of his or her respective fees.  My testimony describes the standards for recovery of legal fees and expenses, including those that are recoverable rate case expenses, and the methodology that I have used in analyzing the reasonableness and recoverability of these expenses.  I also apply those standards to the facts and circumstances of this rate case</w:t>
      </w:r>
      <w:r w:rsidR="00390542">
        <w:t>,</w:t>
      </w:r>
      <w:r>
        <w:t xml:space="preserve"> and based on my full review and evaluation, I support the City’s recovery of its reasonable legal fees and expenses that have been or will be incurred for this case.</w:t>
      </w:r>
    </w:p>
    <w:p w:rsidR="00DD5FC8" w:rsidRDefault="00A80091">
      <w:pPr>
        <w:pStyle w:val="Answer2"/>
      </w:pPr>
      <w:r>
        <w:lastRenderedPageBreak/>
        <w:t>Consistent with Publi</w:t>
      </w:r>
      <w:r w:rsidR="00390542">
        <w:t>c Utility Commission of Texas (Commission</w:t>
      </w:r>
      <w:r>
        <w:t>) practice, if the rate case expense issue does not settle, I expect to file supplemental direct testimony or an affidavit at the appropriate time to update this direct testimony and provide a review of rate case expenses actually incurred as the case moves along.</w:t>
      </w:r>
    </w:p>
    <w:p w:rsidR="00DD5FC8" w:rsidRDefault="00A80091">
      <w:pPr>
        <w:pStyle w:val="Questions"/>
      </w:pPr>
      <w:r>
        <w:t>q.</w:t>
      </w:r>
      <w:r>
        <w:tab/>
        <w:t xml:space="preserve">ARE YOU SPONSORING ANY </w:t>
      </w:r>
      <w:r>
        <w:rPr>
          <w:rFonts w:cs="Times New Roman"/>
          <w:szCs w:val="20"/>
        </w:rPr>
        <w:t xml:space="preserve">attachments </w:t>
      </w:r>
      <w:r>
        <w:t>OR COST-OF-SERVICE SCHEDULES IN CONNECTION WITH YOUR DIRECT TESTIMONY?</w:t>
      </w:r>
    </w:p>
    <w:p w:rsidR="00DD5FC8" w:rsidRDefault="00A80091">
      <w:pPr>
        <w:pStyle w:val="Answers"/>
      </w:pPr>
      <w:r>
        <w:t>A.</w:t>
      </w:r>
      <w:r>
        <w:tab/>
        <w:t xml:space="preserve">Yes.  I sponsor the attachments listed in the table of contents of this testimony, and I co-sponsor </w:t>
      </w:r>
      <w:r w:rsidR="00F203B6">
        <w:t xml:space="preserve">legal </w:t>
      </w:r>
      <w:r w:rsidR="00390542">
        <w:t xml:space="preserve">invoices contained </w:t>
      </w:r>
      <w:r>
        <w:t>in Schedule II-E-4.4 of the rate filing package (</w:t>
      </w:r>
      <w:r w:rsidR="006D344C">
        <w:t>RFP</w:t>
      </w:r>
      <w:r>
        <w:t>).</w:t>
      </w:r>
    </w:p>
    <w:p w:rsidR="00DD5FC8" w:rsidRDefault="00A80091">
      <w:pPr>
        <w:pStyle w:val="Questions"/>
      </w:pPr>
      <w:r>
        <w:t>q.</w:t>
      </w:r>
      <w:r>
        <w:tab/>
        <w:t>WERE YOUR TESTIMONY, THE ATTACHMENTS THERETO, YOUR WORKPAPERS, AND THE SCHEDULES YOU CO-SPONSOR, PREPARED BY YOU OR UNDER YOUR DIRECT SUPERVISION AND CONTROL?</w:t>
      </w:r>
    </w:p>
    <w:p w:rsidR="00DD5FC8" w:rsidRDefault="00A80091">
      <w:pPr>
        <w:pStyle w:val="Answers"/>
      </w:pPr>
      <w:r>
        <w:t>A.</w:t>
      </w:r>
      <w:r>
        <w:tab/>
        <w:t>Yes.  My direct testimony is also organized consistent with the topics set forth above and, along with my attachments, workpapers, and schedules, it was prepared by me or under my direction, supervision, or control and is, to the best of my knowledge and belief, true and correct.</w:t>
      </w:r>
    </w:p>
    <w:p w:rsidR="00DD5FC8" w:rsidRDefault="00A80091">
      <w:pPr>
        <w:pStyle w:val="Heading1"/>
      </w:pPr>
      <w:bookmarkStart w:id="6" w:name="_Toc5787577"/>
      <w:r>
        <w:t>qualifications</w:t>
      </w:r>
      <w:bookmarkEnd w:id="6"/>
    </w:p>
    <w:p w:rsidR="00DD5FC8" w:rsidRDefault="00A80091">
      <w:pPr>
        <w:pStyle w:val="Questions"/>
      </w:pPr>
      <w:r>
        <w:t>q.</w:t>
      </w:r>
      <w:r>
        <w:tab/>
        <w:t>PLEASE DESCRIBE YOUR EDUCATIONAL BACKGROUND AND RELEVANT PROFESSIONAL ASSOCIATIONS.</w:t>
      </w:r>
    </w:p>
    <w:p w:rsidR="00DD5FC8" w:rsidRDefault="00A80091">
      <w:pPr>
        <w:pStyle w:val="Answers"/>
      </w:pPr>
      <w:r>
        <w:t>A.</w:t>
      </w:r>
      <w:r>
        <w:tab/>
        <w:t xml:space="preserve">I graduated from Baylor University in 1998 with a Bachelor of Arts degree in political science.  I later received a Master of Public Policy and Administration and my Juris Doctor degrees from Baylor University and Baylor Law School in February of 2002.  I was subsequently admitted to the State Bar of Texas in 2002 and since </w:t>
      </w:r>
      <w:r>
        <w:lastRenderedPageBreak/>
        <w:t>then have been continuously licensed to practice law in the State of Texas (State Bar No. 24034717).  I am a member of the Public Utility Law and the Administrative and Public Law Sections of the State Bar of Texas.</w:t>
      </w:r>
    </w:p>
    <w:p w:rsidR="00DD5FC8" w:rsidRDefault="00A80091">
      <w:pPr>
        <w:pStyle w:val="Questions"/>
      </w:pPr>
      <w:r>
        <w:t>q.</w:t>
      </w:r>
      <w:r>
        <w:tab/>
        <w:t>PLEASE DESCRIBE YOUR PROFESSIONAL EXPERIENCE.</w:t>
      </w:r>
    </w:p>
    <w:p w:rsidR="00DD5FC8" w:rsidRDefault="00A80091">
      <w:pPr>
        <w:pStyle w:val="Answers"/>
      </w:pPr>
      <w:r>
        <w:t>A.</w:t>
      </w:r>
      <w:r>
        <w:tab/>
        <w:t>I have practiced public utility and energy regulatory law</w:t>
      </w:r>
      <w:r>
        <w:rPr>
          <w:szCs w:val="20"/>
        </w:rPr>
        <w:t xml:space="preserve">, </w:t>
      </w:r>
      <w:r>
        <w:t>almost exclusively, for seventeen years for three different law firms.  From April 2002 through June 2008, I was an associate with Hunton &amp; Williams LLP on the Regulated Industries &amp; Governmental Relations team.  From June 2008 through June 2012, I was an associate and then counsel (effective June 2012) in the Energy Regulatory practice group at Vinson &amp; Elkins LLP.  In June 2018, I joined HAK as a partner on the Energy and Infrastructure team.  I provide additional detail regarding my educational and professional background in my Attachment TRU-1.</w:t>
      </w:r>
    </w:p>
    <w:p w:rsidR="00DD5FC8" w:rsidRDefault="00A80091">
      <w:pPr>
        <w:pStyle w:val="Answer2"/>
      </w:pPr>
      <w:r>
        <w:t xml:space="preserve">During my practice, I have represented utilities in numerous proceedings before the Commission, municipal regulatory authorities, the Railroad Commission of Texas, and the Federal Energy Regulatory Commission. Although I have not previously represented a water utility in a rate case, I have been involved with ratemaking and rate-related issues since I began my practice.  I have represented the largest electric utility in Texas in connection with several system-wide cost-of-service rate cases before the Commission and municipal regulatory authorities, as well as a transmission-only utility in rate cases before the Commission.  Additionally, I have handled rate case expense issues on behalf of utilities and, at one time or another, most of the major issues that are often contested in a typical rate case.  I will not, however, offer any opinions or substantive analysis of these more general rate case issues unless relevant to the determination of the recoverability of rate case expenses.  </w:t>
      </w:r>
      <w:r>
        <w:lastRenderedPageBreak/>
        <w:t>Specifically, I have led and/or actively participated as legal counsel in numerous rate and prudency proceedings, including the following:</w:t>
      </w:r>
    </w:p>
    <w:p w:rsidR="00DD5FC8" w:rsidRDefault="00A80091">
      <w:pPr>
        <w:pStyle w:val="LGListBullet"/>
        <w:spacing w:before="120"/>
        <w:jc w:val="both"/>
      </w:pPr>
      <w:r>
        <w:rPr>
          <w:rFonts w:eastAsia="Calibri"/>
          <w:i/>
          <w:iCs/>
        </w:rPr>
        <w:t>Application of Oncor Electric Delivery Company LLC for Approval to Amend its Distribution Cost Recovery Factor</w:t>
      </w:r>
      <w:r>
        <w:rPr>
          <w:rFonts w:eastAsia="Calibri"/>
        </w:rPr>
        <w:t xml:space="preserve">, Docket No. </w:t>
      </w:r>
      <w:r w:rsidR="00390542">
        <w:rPr>
          <w:rFonts w:eastAsia="Calibri"/>
        </w:rPr>
        <w:t>49427</w:t>
      </w:r>
      <w:r w:rsidR="002325AF">
        <w:rPr>
          <w:rFonts w:eastAsia="Calibri"/>
        </w:rPr>
        <w:t xml:space="preserve"> (</w:t>
      </w:r>
      <w:r>
        <w:rPr>
          <w:rFonts w:eastAsia="Calibri"/>
        </w:rPr>
        <w:t>Apr. 8, 2019);</w:t>
      </w:r>
    </w:p>
    <w:p w:rsidR="00DD5FC8" w:rsidRDefault="00A80091">
      <w:pPr>
        <w:pStyle w:val="LGListBullet"/>
        <w:jc w:val="both"/>
      </w:pPr>
      <w:r>
        <w:rPr>
          <w:i/>
        </w:rPr>
        <w:t>Application of Oncor Electric Delivery Company LLC for Authority to Decrease Rates Based on the Tax Cuts and Jobs Act of 2017</w:t>
      </w:r>
      <w:r>
        <w:t>, Docket No. 48325, Order (Apr. 4, 2019);</w:t>
      </w:r>
    </w:p>
    <w:p w:rsidR="00DD5FC8" w:rsidRDefault="00A80091">
      <w:pPr>
        <w:pStyle w:val="LGListBullet"/>
        <w:jc w:val="both"/>
      </w:pPr>
      <w:r>
        <w:rPr>
          <w:i/>
        </w:rPr>
        <w:t>Application of Oncor Electric Delivery Company LLC for Interim Update of Wholesale Transmission Rates</w:t>
      </w:r>
      <w:r>
        <w:t>, Docket No. 49160 (pending), and several prior Interim Transmission Cost of Service cases, including Docket Nos. 48559, 47988, 46825, 46210, 44968, 44363, 42706, 42267, 41706, 41166, 40603, 40142, and 39644;</w:t>
      </w:r>
    </w:p>
    <w:p w:rsidR="00DD5FC8" w:rsidRDefault="00A80091">
      <w:pPr>
        <w:pStyle w:val="LGListBullet"/>
        <w:jc w:val="both"/>
      </w:pPr>
      <w:r>
        <w:rPr>
          <w:i/>
        </w:rPr>
        <w:t>Application of Oncor Electric Delivery Company LLC for a Distribution Cost Recovery Factor</w:t>
      </w:r>
      <w:r>
        <w:t>, Docket No. 48231, Order (Aug. 30, 2018);</w:t>
      </w:r>
    </w:p>
    <w:p w:rsidR="00DD5FC8" w:rsidRDefault="00A80091">
      <w:pPr>
        <w:pStyle w:val="LGListBullet"/>
        <w:jc w:val="both"/>
      </w:pPr>
      <w:r>
        <w:rPr>
          <w:i/>
        </w:rPr>
        <w:t>Application of Oncor Electric Delivery Company LLC for Authority to Change Rates</w:t>
      </w:r>
      <w:r>
        <w:t>, Docket No. 46957, Order (Oct. 13, 2017);</w:t>
      </w:r>
    </w:p>
    <w:p w:rsidR="00DD5FC8" w:rsidRDefault="00A80091">
      <w:pPr>
        <w:pStyle w:val="LGListBullet"/>
        <w:jc w:val="both"/>
      </w:pPr>
      <w:r>
        <w:rPr>
          <w:i/>
        </w:rPr>
        <w:t>Application of Cross Texas Transmission, LLC for Authority to Change Rates and Tariffs</w:t>
      </w:r>
      <w:r>
        <w:t>, Docket No. 43950, Order (May 1, 2015);</w:t>
      </w:r>
    </w:p>
    <w:p w:rsidR="00DD5FC8" w:rsidRDefault="00A80091">
      <w:pPr>
        <w:pStyle w:val="LGListBullet"/>
        <w:jc w:val="both"/>
      </w:pPr>
      <w:r>
        <w:rPr>
          <w:i/>
        </w:rPr>
        <w:t>Application of Cross Texas Transmission, LLC to Establish Initial Rates and Tariffs</w:t>
      </w:r>
      <w:r>
        <w:t>, Docket No. 40604, Order (Jan. 16, 2013);</w:t>
      </w:r>
    </w:p>
    <w:p w:rsidR="00DD5FC8" w:rsidRDefault="00A80091">
      <w:pPr>
        <w:pStyle w:val="LGListBullet"/>
        <w:jc w:val="both"/>
      </w:pPr>
      <w:r>
        <w:rPr>
          <w:i/>
        </w:rPr>
        <w:t>Application of Oncor Electric Delivery Company LLC for Authority to Change Rates</w:t>
      </w:r>
      <w:r>
        <w:t>, Docket No. 38929, Order (Aug. 26, 2011);</w:t>
      </w:r>
    </w:p>
    <w:p w:rsidR="00DD5FC8" w:rsidRDefault="00A80091">
      <w:pPr>
        <w:pStyle w:val="LGListBullet"/>
        <w:jc w:val="both"/>
      </w:pPr>
      <w:r>
        <w:rPr>
          <w:i/>
        </w:rPr>
        <w:t>Application of Oncor Electric Delivery Company LLC for Authority to Change Rates</w:t>
      </w:r>
      <w:r>
        <w:t>, Docket No. 35717, Order on Rehearing (Nov. 30, 2009);</w:t>
      </w:r>
    </w:p>
    <w:p w:rsidR="00DD5FC8" w:rsidRDefault="00A80091">
      <w:pPr>
        <w:pStyle w:val="LGListBullet"/>
        <w:jc w:val="both"/>
      </w:pPr>
      <w:r>
        <w:rPr>
          <w:i/>
        </w:rPr>
        <w:t>Application of Oncor Electric Delivery Company LLC for 2010 Energy Efficiency Cost Recovery Factor</w:t>
      </w:r>
      <w:r>
        <w:t>, Docket No. 36958, Order (Nov. 23, 2009); and</w:t>
      </w:r>
    </w:p>
    <w:p w:rsidR="00DD5FC8" w:rsidRDefault="00A80091">
      <w:pPr>
        <w:pStyle w:val="LGListBullet"/>
        <w:jc w:val="both"/>
      </w:pPr>
      <w:r>
        <w:rPr>
          <w:i/>
        </w:rPr>
        <w:lastRenderedPageBreak/>
        <w:t>Atmos Energy Corp., Mid-Tex Division, Gas Cost Review in Compliance With 8664 and 9400</w:t>
      </w:r>
      <w:r>
        <w:t>, GUD No. 9732, Final Order (Feb. 26, 2009).</w:t>
      </w:r>
    </w:p>
    <w:p w:rsidR="00DD5FC8" w:rsidRDefault="00A80091">
      <w:pPr>
        <w:pStyle w:val="Answer2"/>
      </w:pPr>
      <w:r>
        <w:t xml:space="preserve">Based on my experience in these and other cases, I know the rate case process and the effort and expertise that is required to pull together, file, and effectively prosecute a rate case. I have had the opportunity to coordinate the overall management of the case; develop case strategy; assemble the legal team; select witnesses (both internal and external) and consultants; review and approve schedules and testimony, discovery responses, and other case filings; negotiate settlements; and participate in the hearing and coordinate post-hearing briefing. </w:t>
      </w:r>
    </w:p>
    <w:p w:rsidR="00DD5FC8" w:rsidRDefault="00A80091">
      <w:pPr>
        <w:pStyle w:val="Answer2"/>
      </w:pPr>
      <w:r>
        <w:t xml:space="preserve">I have also worked with in-house counsel and regulatory personnel to coordinate the efforts of outside counsel and in-house resources for rate and other regulatory matters.  Through my representation of clients in rate proceedings and other cases, I have gained knowledge and familiarity with the hourly rates charged by legal counsel and the necessary efforts that must be expended by legal counsel to effectively represent a client in rate proceedings.  Finally, as a partner at HAK, I have reviewed invoices for legal work performed for the firm’s clients.  </w:t>
      </w:r>
    </w:p>
    <w:p w:rsidR="00DD5FC8" w:rsidRDefault="00A80091">
      <w:pPr>
        <w:pStyle w:val="Answer2"/>
      </w:pPr>
      <w:r>
        <w:t>Please refer to Attachment TRU-1 for additional detail regarding my professional experience.</w:t>
      </w:r>
    </w:p>
    <w:p w:rsidR="00DD5FC8" w:rsidRDefault="00A80091">
      <w:pPr>
        <w:pStyle w:val="Heading1"/>
      </w:pPr>
      <w:bookmarkStart w:id="7" w:name="_Toc5787578"/>
      <w:r>
        <w:t>STANDARDS FOR rate case expense RECOVERY</w:t>
      </w:r>
      <w:bookmarkEnd w:id="7"/>
    </w:p>
    <w:p w:rsidR="00DD5FC8" w:rsidRDefault="00A80091">
      <w:pPr>
        <w:pStyle w:val="Questions"/>
      </w:pPr>
      <w:r>
        <w:t>q.</w:t>
      </w:r>
      <w:r>
        <w:tab/>
        <w:t>IS THE CITY ENTITLED TO REIMBURSEMENT OF RATE CASE EXPENSES INCURRED IN CONNECTION WITH THIS RATE CASE?</w:t>
      </w:r>
    </w:p>
    <w:p w:rsidR="00DD5FC8" w:rsidRDefault="00A80091">
      <w:pPr>
        <w:pStyle w:val="Answers"/>
      </w:pPr>
      <w:r>
        <w:t>A.</w:t>
      </w:r>
      <w:r>
        <w:tab/>
        <w:t>Yes.  The City filed this rat</w:t>
      </w:r>
      <w:r w:rsidR="00390542">
        <w:t>e case under Texas Water Code (TWC</w:t>
      </w:r>
      <w:r>
        <w:t xml:space="preserve">) § 13.044 and under the Commission’s Order on Rehearing in the City’s last rate case in Docket No. </w:t>
      </w:r>
      <w:r>
        <w:lastRenderedPageBreak/>
        <w:t>42857.</w:t>
      </w:r>
      <w:r>
        <w:rPr>
          <w:rStyle w:val="FootnoteReference"/>
        </w:rPr>
        <w:footnoteReference w:id="1"/>
      </w:r>
      <w:r>
        <w:t xml:space="preserve">  In the Order on Rehearing, the Commission recognized that it is a fundamental principle of ratemaking that regulated public utilities are entitled to rates that will allow them to collect total revenues equal to their cost of service.</w:t>
      </w:r>
      <w:r>
        <w:rPr>
          <w:rStyle w:val="FootnoteReference"/>
        </w:rPr>
        <w:footnoteReference w:id="2"/>
      </w:r>
      <w:r>
        <w:t xml:space="preserve">  The City, functioning as Austin Water, operates as a municipal water and sewer utility.  Rate case expenses are part of a utility’s operating expenses and, therefore, the inclusion and recovery of reasonable rate case expenses as part of the City’s operating expense is appropriate here.  A utility must be allowed to recover its reasonable and necessary rate case expenses in order to recover its full and reasonable cost of doing business.  This is true for investor-owned utilities and for municipal utilities like Austin Water.</w:t>
      </w:r>
    </w:p>
    <w:p w:rsidR="00DD5FC8" w:rsidRDefault="00A80091">
      <w:pPr>
        <w:pStyle w:val="Answer2"/>
      </w:pPr>
      <w:r>
        <w:t>Furthermore, under 16 Tex. Admin. Code § 24.44(a) (TAC), a water utility may recover rate case expenses, including attorneys’ fees, incurred as a result of filing a rate-change application under TWC §§ 13.187 or 13.1871, if the expenses are just, reasonable, necessary, and in the public interest.  Additionally, TWC § 13.084 addresses the authority of the governing body of a municipality and provides as follows:</w:t>
      </w:r>
    </w:p>
    <w:p w:rsidR="00DD5FC8" w:rsidRDefault="00A80091" w:rsidP="00DC22D7">
      <w:pPr>
        <w:pStyle w:val="LGBlockText"/>
        <w:keepNext/>
        <w:keepLines/>
        <w:spacing w:after="120"/>
      </w:pPr>
      <w:r>
        <w:lastRenderedPageBreak/>
        <w:t>The governing body of any municipality or the commissioners court of an affected county shall have the right to select and engage rate consultants, accountants, auditors, attorneys, engineers, or any combination of these experts to conduct investigations, present evidence, advise and represent the governing body, and assist with litigation on water and sewer utility rate-making proceedings. The water and sewer utility engaged in those proceedings shall be required to reimburse the governing body or the commissioners court for the reasonable costs of those services and shall be allowed to recover those expenses through its rates with interest during the period of recovery.</w:t>
      </w:r>
    </w:p>
    <w:p w:rsidR="00DD5FC8" w:rsidRDefault="00A80091">
      <w:pPr>
        <w:pStyle w:val="Answers"/>
        <w:ind w:firstLine="0"/>
      </w:pPr>
      <w:r>
        <w:t>Here, the City is the governing body and also controls the affected municipal water utility.  The principle stated in TWC § 13.084 should still apply—a municipality participating in litigation regarding municipal water rates must be allowed to recover its reasonable costs for its participation, including attorneys’ fees, consulting fees, and other reasonable costs.  And, the utility must be allowed to recover these costs through its rates.</w:t>
      </w:r>
    </w:p>
    <w:p w:rsidR="00DD5FC8" w:rsidRDefault="00A80091">
      <w:pPr>
        <w:pStyle w:val="Answer2"/>
      </w:pPr>
      <w:r>
        <w:rPr>
          <w:lang w:bidi="en-US"/>
        </w:rPr>
        <w:t>Along with the above-described standards, several other provisions in the TWC, the Public Utility Regulatory Act, and related Commission rules support the general proposition that utilities and municipalities should be allowed to recover reasonable rate case expenses.</w:t>
      </w:r>
      <w:r>
        <w:rPr>
          <w:rStyle w:val="FootnoteReference"/>
          <w:lang w:bidi="en-US"/>
        </w:rPr>
        <w:footnoteReference w:id="3"/>
      </w:r>
      <w:r>
        <w:rPr>
          <w:lang w:bidi="en-US"/>
        </w:rPr>
        <w:t xml:space="preserve">  This tenet is sound, accepted ratemaking, and should be followed here.</w:t>
      </w:r>
    </w:p>
    <w:p w:rsidR="00DD5FC8" w:rsidRDefault="00A80091" w:rsidP="00DC22D7">
      <w:pPr>
        <w:pStyle w:val="Questions"/>
        <w:keepNext/>
        <w:keepLines/>
      </w:pPr>
      <w:r>
        <w:lastRenderedPageBreak/>
        <w:t>q.</w:t>
      </w:r>
      <w:r>
        <w:tab/>
        <w:t>DOES THE COMMISSION TREAT THE RECOVERY OF RATE CASE EXPENSES THE SAME WAY AS THE RECOVERY OF OTHER OPERATING EXPENSES?</w:t>
      </w:r>
    </w:p>
    <w:p w:rsidR="00DD5FC8" w:rsidRDefault="00A80091">
      <w:pPr>
        <w:pStyle w:val="Answers"/>
      </w:pPr>
      <w:r>
        <w:t>A.</w:t>
      </w:r>
      <w:r>
        <w:tab/>
        <w:t>Not exactly. Although they are part of operating expense</w:t>
      </w:r>
      <w:r w:rsidR="00390542">
        <w:t>s</w:t>
      </w:r>
      <w:r>
        <w:t>, rate case expenses are treated differently, in part, based on timing issues.  Most operating expenses at issue in a Texas rate case are incurred during a historical test year and are recurring, on an annual basis, but rate case expenses are not.  They are not necessarily incurred during a test year, and they are not necessarily recurring on an annual basis.  The Commission’s practice has been to allow recovery of reasonable rate case expenses that the utility incurs both before and after the test-year end</w:t>
      </w:r>
      <w:r w:rsidR="00E00CC3">
        <w:t>s</w:t>
      </w:r>
      <w:r>
        <w:t>, including the recovery of any remaining, reasonable rate case expenses incurred by the utility in connection with a previous rate case.  Unlike its treatment of most other operating expenses, typically, the Commission will either amortize the recovery of rate case expenses over a fixed term of years that reflects the expected period those rates will be in effect, or permit the utility to surcharge the actual rate case expenses it incurred for recovery through a rider.  The latter treatment has been more common in recent years.</w:t>
      </w:r>
    </w:p>
    <w:p w:rsidR="00DD5FC8" w:rsidRDefault="00A80091">
      <w:pPr>
        <w:pStyle w:val="Questions"/>
      </w:pPr>
      <w:r>
        <w:t>q.</w:t>
      </w:r>
      <w:r>
        <w:tab/>
      </w:r>
      <w:r>
        <w:rPr>
          <w:rFonts w:cs="Arial"/>
        </w:rPr>
        <w:t>WHAT STANDARDS ARE USED TO DETERMINE THE REASONABLENESS OF RATE CASE EXPENSES INCURRED BY THE City?</w:t>
      </w:r>
    </w:p>
    <w:p w:rsidR="00DD5FC8" w:rsidRDefault="00A80091">
      <w:pPr>
        <w:pStyle w:val="Answers"/>
      </w:pPr>
      <w:r>
        <w:t>A.</w:t>
      </w:r>
      <w:r>
        <w:tab/>
        <w:t xml:space="preserve">As recognized by the Commission in the City’s last rate case, Commission substantive rules and Texas statutes do not currently speak to the specific factors that the City must address to recover its rate case expenses as a municipality operating a </w:t>
      </w:r>
      <w:r>
        <w:lastRenderedPageBreak/>
        <w:t>municipal water utility.</w:t>
      </w:r>
      <w:r>
        <w:rPr>
          <w:rStyle w:val="FootnoteReference"/>
        </w:rPr>
        <w:footnoteReference w:id="4"/>
      </w:r>
      <w:r>
        <w:t xml:space="preserve">  Well-established case law, however, does discuss the types of factors that the Commission can consider when determining the reasonableness of rate case costs and expenses.  The seminal case in this area is </w:t>
      </w:r>
      <w:r>
        <w:rPr>
          <w:i/>
        </w:rPr>
        <w:t>City of El Paso v. Public Utility Commission of Texas</w:t>
      </w:r>
      <w:r>
        <w:t>.</w:t>
      </w:r>
      <w:r>
        <w:rPr>
          <w:rStyle w:val="FootnoteReference"/>
        </w:rPr>
        <w:footnoteReference w:id="5"/>
      </w:r>
      <w:r>
        <w:t xml:space="preserve">  In </w:t>
      </w:r>
      <w:r>
        <w:rPr>
          <w:i/>
        </w:rPr>
        <w:t>City of El Paso</w:t>
      </w:r>
      <w:r>
        <w:t>, the Third Court of Appeals held that a utility’s requested rate case expenses are reimbursable if the Commission finds the expenses reasonable.</w:t>
      </w:r>
      <w:r>
        <w:rPr>
          <w:rStyle w:val="FootnoteReference"/>
        </w:rPr>
        <w:footnoteReference w:id="6"/>
      </w:r>
      <w:r>
        <w:t xml:space="preserve"> The Court discussed the types of factors the Commission can consider when determining the reasonableness of rate case costs and expenses.</w:t>
      </w:r>
      <w:r>
        <w:rPr>
          <w:rStyle w:val="FootnoteReference"/>
        </w:rPr>
        <w:footnoteReference w:id="7"/>
      </w:r>
      <w:r>
        <w:t xml:space="preserve">  Those factors, which are similar to the factors that may be considered in determining the reasonableness of legal fees under the Texas Disciplinary </w:t>
      </w:r>
      <w:r w:rsidR="00E00CC3">
        <w:t>Rules of Professional Conduct (TDRPC</w:t>
      </w:r>
      <w:r>
        <w:t>),</w:t>
      </w:r>
      <w:r>
        <w:rPr>
          <w:rStyle w:val="FootnoteReference"/>
        </w:rPr>
        <w:footnoteReference w:id="8"/>
      </w:r>
      <w:r>
        <w:t xml:space="preserve"> include but are not limited to:</w:t>
      </w:r>
    </w:p>
    <w:p w:rsidR="00DD5FC8" w:rsidRDefault="00A80091">
      <w:pPr>
        <w:pStyle w:val="LGListNumber"/>
        <w:rPr>
          <w:bCs/>
        </w:rPr>
      </w:pPr>
      <w:r>
        <w:t xml:space="preserve">the time and labor required; </w:t>
      </w:r>
    </w:p>
    <w:p w:rsidR="00DD5FC8" w:rsidRDefault="00A80091">
      <w:pPr>
        <w:pStyle w:val="LGListNumber"/>
        <w:rPr>
          <w:bCs/>
        </w:rPr>
      </w:pPr>
      <w:r>
        <w:t xml:space="preserve">the nature and complexities of the case; </w:t>
      </w:r>
    </w:p>
    <w:p w:rsidR="00DD5FC8" w:rsidRDefault="00A80091">
      <w:pPr>
        <w:pStyle w:val="LGListNumber"/>
        <w:rPr>
          <w:bCs/>
        </w:rPr>
      </w:pPr>
      <w:r>
        <w:t xml:space="preserve">the amount of money or value of property or interest at stake; </w:t>
      </w:r>
    </w:p>
    <w:p w:rsidR="00DD5FC8" w:rsidRDefault="00A80091">
      <w:pPr>
        <w:pStyle w:val="LGListNumber"/>
        <w:rPr>
          <w:bCs/>
        </w:rPr>
      </w:pPr>
      <w:r>
        <w:t xml:space="preserve">the extent of responsibilities the attorney assumes; </w:t>
      </w:r>
    </w:p>
    <w:p w:rsidR="00DD5FC8" w:rsidRDefault="00A80091">
      <w:pPr>
        <w:pStyle w:val="LGListNumber"/>
        <w:rPr>
          <w:bCs/>
        </w:rPr>
      </w:pPr>
      <w:r>
        <w:t>the fee customarily charged in the locality for similar legal services;</w:t>
      </w:r>
    </w:p>
    <w:p w:rsidR="00DD5FC8" w:rsidRDefault="00A80091">
      <w:pPr>
        <w:pStyle w:val="LGListNumber"/>
        <w:rPr>
          <w:bCs/>
        </w:rPr>
      </w:pPr>
      <w:r>
        <w:t xml:space="preserve">whether the attorney loses other employment because of the undertaking; and </w:t>
      </w:r>
    </w:p>
    <w:p w:rsidR="00DD5FC8" w:rsidRDefault="00A80091">
      <w:pPr>
        <w:pStyle w:val="LGListNumber"/>
      </w:pPr>
      <w:r>
        <w:lastRenderedPageBreak/>
        <w:t>the benefits to the client from the services.</w:t>
      </w:r>
      <w:r>
        <w:rPr>
          <w:rStyle w:val="FootnoteReference"/>
        </w:rPr>
        <w:footnoteReference w:id="9"/>
      </w:r>
    </w:p>
    <w:p w:rsidR="00DD5FC8" w:rsidRDefault="00A80091">
      <w:pPr>
        <w:pStyle w:val="Answers"/>
        <w:ind w:firstLine="0"/>
      </w:pPr>
      <w:r>
        <w:rPr>
          <w:rFonts w:cs="Arial"/>
          <w:lang w:bidi="en-US"/>
        </w:rPr>
        <w:t>More recently, in 2014, the Commission adopted 16 TAC § 25.245 that establishes (i) the specific requirements imposed on an electric utility claiming recovery of rate case expenses, and (ii) the criteria the Commission must apply to determine the reasonableness of such expenses.  While not directly applicable here, this rule provides helpful guidance on the specific requirements that the Commission has looked to for the recoverability of rate case expenses.  Thus, I have used 16 TAC § 25.245 to guide my evaluation of the City’s requested rate case expenses in this case.</w:t>
      </w:r>
    </w:p>
    <w:p w:rsidR="00DD5FC8" w:rsidRDefault="00A80091">
      <w:pPr>
        <w:pStyle w:val="Questions"/>
      </w:pPr>
      <w:r>
        <w:t>q.</w:t>
      </w:r>
      <w:r>
        <w:tab/>
        <w:t>PLEASE DESCRIBE THE REQUIREMENTS IMPOSED ON AN ELECTRIC UTILITY CLAIMING RECOVERY OF RATE CASE EXPENSES UNDER 16 TAC § 25.245.</w:t>
      </w:r>
    </w:p>
    <w:p w:rsidR="00DD5FC8" w:rsidRDefault="00A80091">
      <w:pPr>
        <w:pStyle w:val="Answers"/>
        <w:rPr>
          <w:lang w:bidi="en-US"/>
        </w:rPr>
      </w:pPr>
      <w:r>
        <w:t>A.</w:t>
      </w:r>
      <w:r>
        <w:tab/>
      </w:r>
      <w:r>
        <w:rPr>
          <w:lang w:bidi="en-US"/>
        </w:rPr>
        <w:t>An electric utility requesting recovery of rate case expenses must prove the reasonableness of its expenses by a preponderance of the evidence.  Specifically, the utility must provide evidence showing:</w:t>
      </w:r>
    </w:p>
    <w:p w:rsidR="00DD5FC8" w:rsidRDefault="00A80091">
      <w:pPr>
        <w:spacing w:before="120" w:line="360" w:lineRule="auto"/>
        <w:ind w:left="2160" w:hanging="720"/>
        <w:jc w:val="both"/>
      </w:pPr>
      <w:r>
        <w:t>1.</w:t>
      </w:r>
      <w:r>
        <w:tab/>
        <w:t xml:space="preserve">the nature, extent, and difficulty of the work done by the attorney or other professional; </w:t>
      </w:r>
    </w:p>
    <w:p w:rsidR="00DD5FC8" w:rsidRDefault="00A80091">
      <w:pPr>
        <w:spacing w:line="360" w:lineRule="auto"/>
        <w:ind w:left="2160" w:hanging="720"/>
        <w:jc w:val="both"/>
      </w:pPr>
      <w:r>
        <w:t>2.</w:t>
      </w:r>
      <w:r>
        <w:tab/>
        <w:t xml:space="preserve">the time and labor required and expended by the attorney or other professional; </w:t>
      </w:r>
    </w:p>
    <w:p w:rsidR="00DD5FC8" w:rsidRDefault="00A80091">
      <w:pPr>
        <w:spacing w:line="360" w:lineRule="auto"/>
        <w:ind w:left="2160" w:hanging="720"/>
        <w:jc w:val="both"/>
      </w:pPr>
      <w:r>
        <w:t>3.</w:t>
      </w:r>
      <w:r>
        <w:tab/>
        <w:t xml:space="preserve">the fees or other consideration paid to the attorney or other professional for the services rendered; </w:t>
      </w:r>
    </w:p>
    <w:p w:rsidR="00DD5FC8" w:rsidRDefault="00A80091">
      <w:pPr>
        <w:spacing w:line="360" w:lineRule="auto"/>
        <w:ind w:left="2160" w:hanging="720"/>
        <w:jc w:val="both"/>
      </w:pPr>
      <w:r>
        <w:t>4.</w:t>
      </w:r>
      <w:r>
        <w:tab/>
        <w:t xml:space="preserve">the expenses incurred for lodging, meals and beverages, transportation, or other services or materials; </w:t>
      </w:r>
    </w:p>
    <w:p w:rsidR="00DD5FC8" w:rsidRDefault="00A80091">
      <w:pPr>
        <w:spacing w:line="360" w:lineRule="auto"/>
        <w:ind w:left="1440"/>
        <w:jc w:val="both"/>
      </w:pPr>
      <w:r>
        <w:t>5.</w:t>
      </w:r>
      <w:r>
        <w:tab/>
        <w:t xml:space="preserve">the nature and scope of the rate case, including: </w:t>
      </w:r>
    </w:p>
    <w:p w:rsidR="00DD5FC8" w:rsidRDefault="00A80091">
      <w:pPr>
        <w:spacing w:line="360" w:lineRule="auto"/>
        <w:ind w:left="2160"/>
        <w:jc w:val="both"/>
      </w:pPr>
      <w:r>
        <w:t>a.</w:t>
      </w:r>
      <w:r>
        <w:tab/>
        <w:t xml:space="preserve">the size of the utility and number and type of customers served; </w:t>
      </w:r>
    </w:p>
    <w:p w:rsidR="00DD5FC8" w:rsidRDefault="00A80091">
      <w:pPr>
        <w:spacing w:line="360" w:lineRule="auto"/>
        <w:ind w:left="2160"/>
        <w:jc w:val="both"/>
      </w:pPr>
      <w:r>
        <w:lastRenderedPageBreak/>
        <w:t>b.</w:t>
      </w:r>
      <w:r>
        <w:tab/>
        <w:t xml:space="preserve">the amount of money or value of property or interest at stake; </w:t>
      </w:r>
    </w:p>
    <w:p w:rsidR="00DD5FC8" w:rsidRDefault="00A80091">
      <w:pPr>
        <w:spacing w:line="360" w:lineRule="auto"/>
        <w:ind w:left="2160"/>
        <w:jc w:val="both"/>
      </w:pPr>
      <w:r>
        <w:t>c.</w:t>
      </w:r>
      <w:r>
        <w:tab/>
        <w:t xml:space="preserve">the novelty or complexity of the issues addressed; </w:t>
      </w:r>
    </w:p>
    <w:p w:rsidR="00DD5FC8" w:rsidRDefault="00A80091">
      <w:pPr>
        <w:spacing w:line="360" w:lineRule="auto"/>
        <w:ind w:left="2160"/>
        <w:jc w:val="both"/>
      </w:pPr>
      <w:r>
        <w:t>d.</w:t>
      </w:r>
      <w:r>
        <w:tab/>
        <w:t xml:space="preserve">the amount and complexity of discovery; </w:t>
      </w:r>
    </w:p>
    <w:p w:rsidR="00DD5FC8" w:rsidRDefault="00A80091">
      <w:pPr>
        <w:spacing w:line="360" w:lineRule="auto"/>
        <w:ind w:left="2160"/>
        <w:jc w:val="both"/>
      </w:pPr>
      <w:r>
        <w:t>e.</w:t>
      </w:r>
      <w:r>
        <w:tab/>
        <w:t xml:space="preserve">the occurrence and length of a hearing; and </w:t>
      </w:r>
    </w:p>
    <w:p w:rsidR="00DD5FC8" w:rsidRDefault="00A80091">
      <w:pPr>
        <w:spacing w:line="360" w:lineRule="auto"/>
        <w:ind w:left="2160" w:hanging="720"/>
        <w:jc w:val="both"/>
      </w:pPr>
      <w:r>
        <w:t>6.</w:t>
      </w:r>
      <w:r>
        <w:tab/>
        <w:t>the specific issues in the rate case and the amount of rate case expenses reasonably associated with each issue.</w:t>
      </w:r>
      <w:r>
        <w:rPr>
          <w:rStyle w:val="FootnoteReference"/>
        </w:rPr>
        <w:footnoteReference w:id="10"/>
      </w:r>
      <w:r>
        <w:t xml:space="preserve">  </w:t>
      </w:r>
    </w:p>
    <w:p w:rsidR="00DD5FC8" w:rsidRDefault="00A80091">
      <w:pPr>
        <w:pStyle w:val="Answer2"/>
        <w:ind w:firstLine="0"/>
      </w:pPr>
      <w:r>
        <w:t xml:space="preserve">These factors, though not dispositive in this case, provide relevant guidance as to what evidence the City functioning as a municipal water utility may provide in order to establish its rate case expenses are just and reasonable.  </w:t>
      </w:r>
    </w:p>
    <w:p w:rsidR="00DD5FC8" w:rsidRDefault="00A80091">
      <w:pPr>
        <w:pStyle w:val="Questions"/>
      </w:pPr>
      <w:r>
        <w:t>Q.</w:t>
      </w:r>
      <w:r>
        <w:tab/>
        <w:t>ON WHAT BASIS MAY THE COMMISSION EXCLUDE RATE CASE EXPENSES FROM RECOVERY?</w:t>
      </w:r>
    </w:p>
    <w:p w:rsidR="00DD5FC8" w:rsidRDefault="00A80091">
      <w:pPr>
        <w:pStyle w:val="Answers"/>
      </w:pPr>
      <w:r>
        <w:t>A.</w:t>
      </w:r>
      <w:r>
        <w:tab/>
        <w:t>Again, though not dispositive here, 16 TAC § 25.245 is helpful.  Under section 25.245</w:t>
      </w:r>
      <w:r w:rsidR="00E224C7">
        <w:t xml:space="preserve"> and</w:t>
      </w:r>
      <w:r>
        <w:t xml:space="preserve"> after considering the </w:t>
      </w:r>
      <w:r>
        <w:rPr>
          <w:i/>
        </w:rPr>
        <w:t>City of El Paso</w:t>
      </w:r>
      <w:r>
        <w:t xml:space="preserve"> factors, the Commission may exclude rate case expenses to the extent it finds: </w:t>
      </w:r>
    </w:p>
    <w:p w:rsidR="00DD5FC8" w:rsidRDefault="00A80091">
      <w:pPr>
        <w:spacing w:before="120" w:line="360" w:lineRule="auto"/>
        <w:ind w:left="2160" w:hanging="720"/>
        <w:jc w:val="both"/>
      </w:pPr>
      <w:r>
        <w:t>1.</w:t>
      </w:r>
      <w:r>
        <w:tab/>
        <w:t xml:space="preserve">the fees paid to, tasks performed by, or time spent on a task by an attorney or other professional were extreme or excessive; </w:t>
      </w:r>
    </w:p>
    <w:p w:rsidR="00DD5FC8" w:rsidRDefault="00A80091">
      <w:pPr>
        <w:spacing w:line="360" w:lineRule="auto"/>
        <w:ind w:left="2160" w:hanging="720"/>
        <w:jc w:val="both"/>
      </w:pPr>
      <w:r>
        <w:t>2.</w:t>
      </w:r>
      <w:r>
        <w:tab/>
        <w:t xml:space="preserve">the expenses incurred for lodging, meals and beverages, transportation, or other services or materials were extreme or excessive; </w:t>
      </w:r>
    </w:p>
    <w:p w:rsidR="00DD5FC8" w:rsidRDefault="00A80091">
      <w:pPr>
        <w:spacing w:line="360" w:lineRule="auto"/>
        <w:ind w:left="2160" w:hanging="720"/>
        <w:jc w:val="both"/>
      </w:pPr>
      <w:r>
        <w:t>3.</w:t>
      </w:r>
      <w:r>
        <w:tab/>
        <w:t xml:space="preserve">there was duplication of services or testimony; </w:t>
      </w:r>
    </w:p>
    <w:p w:rsidR="00DD5FC8" w:rsidRDefault="00A80091">
      <w:pPr>
        <w:spacing w:line="360" w:lineRule="auto"/>
        <w:ind w:left="2160" w:hanging="720"/>
        <w:jc w:val="both"/>
      </w:pPr>
      <w:r>
        <w:t>4.</w:t>
      </w:r>
      <w:r>
        <w:tab/>
        <w:t xml:space="preserve">the utility’s or municipality’s proposal on an issue in the rate case had no reasonable basis in law, policy, or fact and was not warranted by any reasonable argument for the extension, modification, or reversal of Commission precedent; </w:t>
      </w:r>
    </w:p>
    <w:p w:rsidR="00DD5FC8" w:rsidRDefault="00A80091">
      <w:pPr>
        <w:spacing w:line="360" w:lineRule="auto"/>
        <w:ind w:left="2160" w:hanging="720"/>
        <w:jc w:val="both"/>
      </w:pPr>
      <w:r>
        <w:t>5.</w:t>
      </w:r>
      <w:r>
        <w:tab/>
        <w:t xml:space="preserve">rate case expenses, as a whole, were disproportionate, excessive, or unwarranted in relation to the nature and scope of the rate case addressed by the evidence pursuant to subsection (b)(5) of § 25.245; or </w:t>
      </w:r>
    </w:p>
    <w:p w:rsidR="00DD5FC8" w:rsidRDefault="00A80091">
      <w:pPr>
        <w:spacing w:line="360" w:lineRule="auto"/>
        <w:ind w:left="2160" w:hanging="720"/>
        <w:jc w:val="both"/>
      </w:pPr>
      <w:r>
        <w:lastRenderedPageBreak/>
        <w:t>6.</w:t>
      </w:r>
      <w:r>
        <w:tab/>
        <w:t>the utility or municipality failed to comply with the requirements for providing sufficient information pursuant to subsection (b) of § 24.245.</w:t>
      </w:r>
      <w:r>
        <w:rPr>
          <w:rStyle w:val="FootnoteReference"/>
        </w:rPr>
        <w:footnoteReference w:id="11"/>
      </w:r>
    </w:p>
    <w:p w:rsidR="00DD5FC8" w:rsidRDefault="00A80091">
      <w:pPr>
        <w:pStyle w:val="Answer2"/>
      </w:pPr>
      <w:r>
        <w:t>Otherwise, the Commission is required to allow recovery of rate case expenses equal to the amount shown in the evidentiary record to be actually and reasonably incurred by the utility.</w:t>
      </w:r>
    </w:p>
    <w:p w:rsidR="00DD5FC8" w:rsidRDefault="00A80091">
      <w:pPr>
        <w:pStyle w:val="Heading1"/>
      </w:pPr>
      <w:bookmarkStart w:id="8" w:name="_Toc5787579"/>
      <w:r>
        <w:t>REVIEW METHODOLOGY</w:t>
      </w:r>
      <w:bookmarkEnd w:id="8"/>
    </w:p>
    <w:p w:rsidR="00DD5FC8" w:rsidRDefault="00A80091">
      <w:pPr>
        <w:pStyle w:val="Questions"/>
      </w:pPr>
      <w:r>
        <w:t>q.</w:t>
      </w:r>
      <w:r>
        <w:tab/>
        <w:t>PLEASE GENERALLY DESCRIBE THE METHODOLOGY YOU USED TO EVALUATE THE REASONABLENESS OF THE CITY’S CURRENT RATE CASE EXPENSES.</w:t>
      </w:r>
    </w:p>
    <w:p w:rsidR="00DD5FC8" w:rsidRDefault="00A80091">
      <w:pPr>
        <w:pStyle w:val="Answers"/>
      </w:pPr>
      <w:r>
        <w:t>A.</w:t>
      </w:r>
      <w:r>
        <w:tab/>
        <w:t xml:space="preserve">After an initial telephone conference with the City’s outside counsel, Mr. Thomas L. Brocato, I reviewed the Commission’s Order on Rehearing in the City’s last rate case (Docket No. 42857) to provide context for this filing.  Additionally, I have reviewed the rate case expenses incurred by the City for outside legal counsel from April 1, 2018 to March 31, 2019 (see Schedule II-E-4.4) in connection with the preparation of the City’s RFP.  I interviewed the primary outside attorneys and the in-house counsel responsible for this case about the measures and systems established to ensure the appropriateness of legal fees.  I also reviewed the qualifications and hourly rates of the attorneys and paralegals involved in the rate case.  Furthermore, I considered the </w:t>
      </w:r>
      <w:r>
        <w:rPr>
          <w:i/>
        </w:rPr>
        <w:t>City of El Paso</w:t>
      </w:r>
      <w:r>
        <w:t xml:space="preserve"> standards and other relevant legal authority, including the TDRPC and Commission rules that bear on the recovery of rate case expenses, to determine the reasonableness of the fees, expenses, and hourly rates charged by the attorneys and their support staff in this case.</w:t>
      </w:r>
    </w:p>
    <w:p w:rsidR="00DD5FC8" w:rsidRDefault="00A80091">
      <w:pPr>
        <w:pStyle w:val="Questions"/>
      </w:pPr>
      <w:r>
        <w:lastRenderedPageBreak/>
        <w:t>Q.</w:t>
      </w:r>
      <w:r>
        <w:tab/>
        <w:t>PLEASE DESCRIBE THE PURPOSE OF EACH PART OF YOUR REVIEW.</w:t>
      </w:r>
    </w:p>
    <w:p w:rsidR="00DD5FC8" w:rsidRDefault="00A80091">
      <w:pPr>
        <w:pStyle w:val="Answers"/>
      </w:pPr>
      <w:r>
        <w:t>A.</w:t>
      </w:r>
      <w:r>
        <w:tab/>
        <w:t>By interviewing the primary outside attorneys and the in-house counsel responsible for this case, I was able to investigate the general practices that the City used for selecting the rate case team.  The interviews also provided me with information about the lawyers chosen for the rate case team, including their relevant educational and professional backgrounds.  I also learned what systems are put in place by outside counsel to ensure that work is being conducted efficiently and not being duplicated.  I investigated what steps have been taken to make sure the time spent by attorneys on the rate case is appropriate for the nature and complexity of the case. Finally, I reviewed the qualifications and hourly rates of the attorneys involved in the rate case to confirm consistency between the fees charged, the experience of the attorney or paralegal, and the nature of the work to be performed.  Further discussion of my conclusions based on my review methodology is listed below.</w:t>
      </w:r>
    </w:p>
    <w:p w:rsidR="00DD5FC8" w:rsidRDefault="00A80091">
      <w:pPr>
        <w:pStyle w:val="Questions"/>
      </w:pPr>
      <w:r>
        <w:t>Q.</w:t>
      </w:r>
      <w:r>
        <w:tab/>
        <w:t>FOR WHAT PERIOD OF TIME WAS YOUR REVIEW CONDUCTED?</w:t>
      </w:r>
    </w:p>
    <w:p w:rsidR="00DD5FC8" w:rsidRDefault="00A80091">
      <w:pPr>
        <w:pStyle w:val="Answers"/>
      </w:pPr>
      <w:r>
        <w:t>A.</w:t>
      </w:r>
      <w:r>
        <w:tab/>
        <w:t>Thus far, my review has been limited to rate case expenses billed to and incurred by the City from April 1, 2018, through March 31, 2019.  If the rate case expense issue does not settle, I will need to conduct additional review to determine the continuing reasonableness of rate case expenses throughout the rate proceeding, and I will need to file supplemental direct testimony or an affidavit regarding those expenses.</w:t>
      </w:r>
    </w:p>
    <w:p w:rsidR="00DD5FC8" w:rsidRDefault="00A80091">
      <w:pPr>
        <w:pStyle w:val="Questions"/>
      </w:pPr>
      <w:r>
        <w:t>Q.</w:t>
      </w:r>
      <w:r>
        <w:tab/>
        <w:t>IF THE RATE CASE EXPENSE ISSUE IS NOT SETTLED, WHAT REVIEW WILL YOU CONDUCT POST FILING TO DETERMINE THE CONTINUING REASONABLENESS OF THE CITY’S RATE CASE EXPENSES?</w:t>
      </w:r>
    </w:p>
    <w:p w:rsidR="00DD5FC8" w:rsidRDefault="00A80091">
      <w:pPr>
        <w:pStyle w:val="Answers"/>
      </w:pPr>
      <w:r>
        <w:lastRenderedPageBreak/>
        <w:t>A.</w:t>
      </w:r>
      <w:r>
        <w:tab/>
        <w:t>I will review invoices for legal fees incurred after March 31, 2019, and verify that the rate case team remained focused on their assigned tasks.  I will also evaluate whether the time spent, as indicated on the invoices, is appropriate given the complexity and importance of the various issues in the rate proceeding.  Additionally, I will evaluate the factors for determining the reasonableness of rate case expenses that cannot be addressed, all or in part, at the application stage of the proceeding (</w:t>
      </w:r>
      <w:r>
        <w:rPr>
          <w:i/>
        </w:rPr>
        <w:t>e.g.</w:t>
      </w:r>
      <w:r>
        <w:t>, amount and complexity of discovery, occurrence and length of the hearing, and specific issues that have arisen). After the completion of this review and research, I will file supplemental direct testimony or an affidavit detailing my findings regarding the reasonableness of the rate case expenses incurred by the City.</w:t>
      </w:r>
    </w:p>
    <w:p w:rsidR="00DD5FC8" w:rsidRDefault="00A80091">
      <w:pPr>
        <w:pStyle w:val="Heading1"/>
      </w:pPr>
      <w:bookmarkStart w:id="9" w:name="_Toc5787580"/>
      <w:r>
        <w:t>RESULTS OF REVIEW</w:t>
      </w:r>
      <w:bookmarkEnd w:id="9"/>
    </w:p>
    <w:p w:rsidR="00DD5FC8" w:rsidRDefault="00A80091">
      <w:pPr>
        <w:pStyle w:val="Questions"/>
      </w:pPr>
      <w:r>
        <w:t>Q.</w:t>
      </w:r>
      <w:r>
        <w:tab/>
        <w:t>PLEASE DESCRIBE THE BASIS FOR THIS RATE CASE.</w:t>
      </w:r>
    </w:p>
    <w:p w:rsidR="00DD5FC8" w:rsidRDefault="00A80091">
      <w:pPr>
        <w:pStyle w:val="Answers"/>
        <w:rPr>
          <w:rFonts w:cs="Arial"/>
        </w:rPr>
      </w:pPr>
      <w:r>
        <w:t>A.</w:t>
      </w:r>
      <w:r>
        <w:tab/>
      </w:r>
      <w:r>
        <w:rPr>
          <w:rFonts w:cs="Arial"/>
        </w:rPr>
        <w:t>Based on my interviews and research, the City’s wholesale rates for water and wastewater services were historically imposed on its wholesale customers by ordinance as adopted by the Austin City Council.  In 2013, four members of the City’s wholesale customer class (the “Appellants”) challenged the City’s cost allocation and rate design methodology through an appeal to the Texas Commis</w:t>
      </w:r>
      <w:r w:rsidR="00E224C7">
        <w:rPr>
          <w:rFonts w:cs="Arial"/>
        </w:rPr>
        <w:t>sion on Environmental Quality (TCEQ</w:t>
      </w:r>
      <w:r>
        <w:rPr>
          <w:rFonts w:cs="Arial"/>
        </w:rPr>
        <w:t>).</w:t>
      </w:r>
      <w:r>
        <w:rPr>
          <w:rStyle w:val="FootnoteReference"/>
        </w:rPr>
        <w:footnoteReference w:id="12"/>
      </w:r>
      <w:r>
        <w:rPr>
          <w:rFonts w:cs="Arial"/>
        </w:rPr>
        <w:t xml:space="preserve">  The appeal was eventually transferred to the Commission. The Commission ultimately rejected the City’s proposed increased rates and ordered the City, under TWC § 13.044, to refrain from increasing wholesale water and wastewater rates applicable to the Appellants without Commission </w:t>
      </w:r>
      <w:r>
        <w:rPr>
          <w:rFonts w:cs="Arial"/>
        </w:rPr>
        <w:lastRenderedPageBreak/>
        <w:t>approval.</w:t>
      </w:r>
      <w:r>
        <w:rPr>
          <w:rStyle w:val="FootnoteReference"/>
        </w:rPr>
        <w:footnoteReference w:id="13"/>
      </w:r>
      <w:r>
        <w:rPr>
          <w:rFonts w:cs="Arial"/>
        </w:rPr>
        <w:t xml:space="preserve">  Subsequently, the City attempted to enter into a settlement agreement with the Appellants, but the parties could not reach an agreement.  In this docket, therefore, the City seeks Commission approval to increase its wholesale water and wastewater rates in compliance with the Commission’s Order on Rehearing in Docket</w:t>
      </w:r>
    </w:p>
    <w:p w:rsidR="0023092B" w:rsidRDefault="00A80091" w:rsidP="0023092B">
      <w:pPr>
        <w:pStyle w:val="Answers"/>
        <w:ind w:firstLine="0"/>
        <w:jc w:val="left"/>
        <w:rPr>
          <w:rFonts w:cs="Arial"/>
        </w:rPr>
      </w:pPr>
      <w:r>
        <w:rPr>
          <w:rFonts w:cs="Arial"/>
        </w:rPr>
        <w:t>No. 42857 and TWC § 13.044.</w:t>
      </w:r>
      <w:r w:rsidR="0023092B">
        <w:rPr>
          <w:rFonts w:cs="Arial"/>
        </w:rPr>
        <w:t xml:space="preserve"> </w:t>
      </w:r>
    </w:p>
    <w:p w:rsidR="00DD5FC8" w:rsidRDefault="00A80091" w:rsidP="0023092B">
      <w:pPr>
        <w:pStyle w:val="Questions"/>
      </w:pPr>
      <w:r>
        <w:t>Q.</w:t>
      </w:r>
      <w:r>
        <w:tab/>
        <w:t>PLEASE SUMMARIZE THE RATE CASE PROCESS.</w:t>
      </w:r>
    </w:p>
    <w:p w:rsidR="00DD5FC8" w:rsidRDefault="00A80091">
      <w:pPr>
        <w:pStyle w:val="Answers"/>
      </w:pPr>
      <w:r>
        <w:t>A.</w:t>
      </w:r>
      <w:r>
        <w:tab/>
        <w:t>A rate case is highly specialized administrative litigation that requires a robust management process and reasonable decision makers to implement that process.  The utility has the burden of proof, thus requiring it to prepare for and address multiple issues in its direct and, where necessary, rebuttal testimony.  There are numerous possible issues in a rate case that are sometimes hard to anticipate until well into the litigation.  Discovery is often complex, many times voluminous, and often with short</w:t>
      </w:r>
      <w:r w:rsidR="000554CC">
        <w:noBreakHyphen/>
      </w:r>
      <w:r>
        <w:t>turnaround deadlines.  Typically, the utility will anticipate the need for multiple direct and rebuttal witnesses with varied, highly specialized expertise.  These witnesses need to cover a broad range of substantive topics—accounting, finance, and all aspects of utility operations and management.  And still, throughout this entire process, experienced practitioners know that good public policy requires the utility to efficiently manage rate case litigation. Wasteful or unnecessary expenditures in litigating a rate case will not only place the utility’s recovery of rate case expenses at risk, but it can negatively affect the utility’s reputation and the credibility of its case.</w:t>
      </w:r>
    </w:p>
    <w:p w:rsidR="00DD5FC8" w:rsidRDefault="00A80091" w:rsidP="0023092B">
      <w:pPr>
        <w:pStyle w:val="Questions"/>
        <w:keepNext/>
        <w:keepLines/>
      </w:pPr>
      <w:r>
        <w:lastRenderedPageBreak/>
        <w:t>Q.</w:t>
      </w:r>
      <w:r>
        <w:tab/>
        <w:t>WHO DID THE CITY SELECT AS ITS OUTSIDE LEGAL COUNSEL?</w:t>
      </w:r>
    </w:p>
    <w:p w:rsidR="00DD5FC8" w:rsidRDefault="00A80091">
      <w:pPr>
        <w:pStyle w:val="Answers"/>
      </w:pPr>
      <w:r>
        <w:t>A.</w:t>
      </w:r>
      <w:r>
        <w:tab/>
        <w:t>The City selected the Austin law firm of Lloyd Gossel</w:t>
      </w:r>
      <w:r w:rsidR="00952704">
        <w:t>ink Rochelle &amp; Townsend, P.C. (Lloyd Gosselink</w:t>
      </w:r>
      <w:r>
        <w:t>) as its outside legal counsel</w:t>
      </w:r>
      <w:r w:rsidR="00952704">
        <w:t>, and</w:t>
      </w:r>
      <w:r>
        <w:t xml:space="preserve"> with the assistance of Lloyd Gosselink, selected several additional consulting resources to assist the City in handing this rate case.</w:t>
      </w:r>
    </w:p>
    <w:p w:rsidR="00DD5FC8" w:rsidRDefault="00A80091">
      <w:pPr>
        <w:pStyle w:val="Questions"/>
      </w:pPr>
      <w:r>
        <w:t>Q.</w:t>
      </w:r>
      <w:r>
        <w:tab/>
        <w:t>PLEASE DESCRIBE THE CITY’S RATE CASE TEAM.</w:t>
      </w:r>
    </w:p>
    <w:p w:rsidR="00DD5FC8" w:rsidRDefault="00A80091">
      <w:pPr>
        <w:pStyle w:val="Answers"/>
      </w:pPr>
      <w:r>
        <w:t>A.</w:t>
      </w:r>
      <w:r>
        <w:tab/>
        <w:t>Mr. Andy Perny, Utility and Regulatory Division Chief for the City since 2005, is the in-house counsel with overall legal responsibility for the City’s rate case.  As I discuss further below, Mr. Perny hired Lloyd Gosselink as the outside counsel responsible for the preparation and prosecution of this case.</w:t>
      </w:r>
    </w:p>
    <w:p w:rsidR="00DD5FC8" w:rsidRDefault="00A80091">
      <w:pPr>
        <w:pStyle w:val="Answer2"/>
      </w:pPr>
      <w:r>
        <w:t xml:space="preserve">Lloyd Gosselink and the City have assembled a team of lawyers and support staff to provide the necessary services to prosecute this case.  In my review of the invoices provided to me, I made note of the lawyers and other support resources that have been assigned to the case.  The team of lawyers primarily responsible for the rate case includes Mr. </w:t>
      </w:r>
      <w:r w:rsidR="00952704">
        <w:t xml:space="preserve">Thomas L. </w:t>
      </w:r>
      <w:r>
        <w:t>Brocato, who is serving as the lead lawyer for the case, Mr. Christopher L. Brewster, and Ms. Jamie L. Mauldin, and junior associates and paralegals who support the legal team. After interviewing and reviewing the credentials of Messrs. Brocato and Brewster and Ms. Mauldin and consulting with Mr. Perny at the City, I am satisfied that the members of the outside legal team are qualified for their respective roles in this case.</w:t>
      </w:r>
    </w:p>
    <w:p w:rsidR="00DD5FC8" w:rsidRDefault="00A80091">
      <w:pPr>
        <w:pStyle w:val="Questions"/>
      </w:pPr>
      <w:r>
        <w:t>Q.</w:t>
      </w:r>
      <w:r>
        <w:tab/>
        <w:t>HOW DOES THE CITY DETERMINE WHICH RATE CASE EXPENSES SHOULD BE RECOVERED?</w:t>
      </w:r>
    </w:p>
    <w:p w:rsidR="00DD5FC8" w:rsidRDefault="00A80091">
      <w:pPr>
        <w:pStyle w:val="Answers"/>
      </w:pPr>
      <w:r>
        <w:t>A.</w:t>
      </w:r>
      <w:r>
        <w:tab/>
        <w:t xml:space="preserve">Mr. Perny and I discussed the method the City uses when determining which rate case expenses should be included in the calculation of rates.  According to Mr. Perny, the </w:t>
      </w:r>
      <w:r>
        <w:lastRenderedPageBreak/>
        <w:t>City is only including those expenses that are incremental to the costs already included in the City’s rates.  This approach seeks to recover in rate case expense only those costs that will be incurred based on a decision to use outside consultants and counsel or that require in-house expenses that would not have been incurred but for rate case preparation and participation.  In other words, the City is not including the time and salary of in-house employees as recoverable rate case expenses.</w:t>
      </w:r>
    </w:p>
    <w:p w:rsidR="00DD5FC8" w:rsidRDefault="00A80091">
      <w:pPr>
        <w:pStyle w:val="Questions"/>
      </w:pPr>
      <w:r>
        <w:t>Q.</w:t>
      </w:r>
      <w:r>
        <w:tab/>
        <w:t>WHAT METHODS DOES THE RATE CASE TEAM EMPLOY TO MITIGATE COSTS ASSOCIATED WITH THE FILING OF THE RATE CASE?</w:t>
      </w:r>
    </w:p>
    <w:p w:rsidR="00DD5FC8" w:rsidRDefault="00A80091">
      <w:pPr>
        <w:pStyle w:val="Answers"/>
      </w:pPr>
      <w:r>
        <w:t>A.</w:t>
      </w:r>
      <w:r>
        <w:tab/>
        <w:t>Cost control is particularly important to the City, which has an obvious incentive to keep costs low to benefit customers, who are also taxpayers.  Lloyd Gosselink worked with the City to outline an engagement with specific parameters regarding the rates to be charged.  My Attachment TRU-2 shows the hourly rates that are being charged for the outside lawyers and paralegals on the team.  Additionally, the partners at Lloyd Gosselink utilize associates and paralegals with lower rates to perform work that is capable of being done by attorneys or support staff at their respective experience levels.  This ensures that the work is performed at the least and most effective cost possible for the City.</w:t>
      </w:r>
    </w:p>
    <w:p w:rsidR="00DD5FC8" w:rsidRDefault="00A80091">
      <w:pPr>
        <w:pStyle w:val="Questions"/>
      </w:pPr>
      <w:r>
        <w:t>Q.</w:t>
      </w:r>
      <w:r>
        <w:tab/>
        <w:t>PLEASE DESCRIBE THE CITY’S PROCESS FOR HIRING CONSULTANTS FOR THE RATE CASE PROCEEDING.</w:t>
      </w:r>
    </w:p>
    <w:p w:rsidR="00DD5FC8" w:rsidRDefault="00A80091">
      <w:pPr>
        <w:pStyle w:val="Answers"/>
      </w:pPr>
      <w:r>
        <w:t>A.</w:t>
      </w:r>
      <w:r>
        <w:tab/>
        <w:t xml:space="preserve">At the outset of the case preparation, Mr. Brocato reviewed what subject areas and issues would require outside assistance.  In some cases, outside assistance is necessary because in-house resources lack the necessary specialization or depth of experience. In others, outside consultants may be selected to provide independence.  </w:t>
      </w:r>
      <w:r>
        <w:lastRenderedPageBreak/>
        <w:t>For example, I was retained to provide independence on the issue of rate case expenses incurred by the City in this proceeding.</w:t>
      </w:r>
    </w:p>
    <w:p w:rsidR="00DD5FC8" w:rsidRDefault="00A80091">
      <w:pPr>
        <w:pStyle w:val="Questions"/>
      </w:pPr>
      <w:r>
        <w:t>Q.</w:t>
      </w:r>
      <w:r>
        <w:tab/>
        <w:t>PLEASE DESCRIBE YOUR COMPENSATION AS AN OUTSIDE CONSULTANT.</w:t>
      </w:r>
    </w:p>
    <w:p w:rsidR="00DD5FC8" w:rsidRDefault="00A80091">
      <w:pPr>
        <w:pStyle w:val="Answers"/>
      </w:pPr>
      <w:r>
        <w:t>A.</w:t>
      </w:r>
      <w:r>
        <w:tab/>
        <w:t>I bill by the hour, as is common and accepted practice in the legal industry.  Additionally, the City reimburses consultants for hotels and travel expenses.  To minimize these expenses, however, the City instructs its outside lawyers and consultants to avoid luxury and unnecessary expenses when traveling.  To-date, I have been able to conduct my evaluation without the necessity of incurring travel expenses.</w:t>
      </w:r>
    </w:p>
    <w:p w:rsidR="00DD5FC8" w:rsidRDefault="00A80091">
      <w:pPr>
        <w:pStyle w:val="Questions"/>
      </w:pPr>
      <w:r>
        <w:t>Q.</w:t>
      </w:r>
      <w:r>
        <w:tab/>
        <w:t>PLEASE DESCRIBE THE BILLING PROCESS USED BY LLOYD GOSSELINK.</w:t>
      </w:r>
    </w:p>
    <w:p w:rsidR="00DD5FC8" w:rsidRDefault="00A80091">
      <w:pPr>
        <w:pStyle w:val="Answers"/>
      </w:pPr>
      <w:r>
        <w:t>A.</w:t>
      </w:r>
      <w:r>
        <w:tab/>
        <w:t>The billing process used by Lloyd Gosselink is similar to that utilized by myself, most other attorneys, and most consultants that keep time and submit invoices based on hourly rates.  Each timekeeper is responsible for keeping track of time spent on a matter and for inputting that time and the nature of the work in the appropriate billing system.  My experience is that attorneys and other timekeepers take this responsibility very seriously.  The attorneys carefully review each invoice to ensure that matters are properly billed, the amount of time spent on each task is reasonable, all time-keepers are approved by the City, and all expenses are appropriately included.  The attorneys will then correct any mistakes and the invoice is adjusted accordingly.  At this point, the bills are sent to the City where they are again subjected to review.</w:t>
      </w:r>
    </w:p>
    <w:p w:rsidR="00DD5FC8" w:rsidRDefault="00A80091" w:rsidP="0023092B">
      <w:pPr>
        <w:pStyle w:val="Questions"/>
        <w:keepNext/>
        <w:keepLines/>
      </w:pPr>
      <w:r>
        <w:lastRenderedPageBreak/>
        <w:t>Q.</w:t>
      </w:r>
      <w:r>
        <w:tab/>
        <w:t>HOW DOES THE CITY TRACK ALL OF ITS RATE CASE EXPENSES?</w:t>
      </w:r>
    </w:p>
    <w:p w:rsidR="00DD5FC8" w:rsidRDefault="00A80091">
      <w:pPr>
        <w:pStyle w:val="Answers"/>
      </w:pPr>
      <w:r>
        <w:t>A.</w:t>
      </w:r>
      <w:r>
        <w:tab/>
        <w:t>Lloyd Gosselink has elected to establish 13 billing categories to be used by its attorneys and consultants rendering opinions in this case.  Each attorney or consultant codes his or her time spent on this case according to one or more of the following categories:</w:t>
      </w:r>
    </w:p>
    <w:p w:rsidR="00DD5FC8" w:rsidRDefault="00A80091">
      <w:pPr>
        <w:pStyle w:val="ListParagraph"/>
        <w:numPr>
          <w:ilvl w:val="0"/>
          <w:numId w:val="5"/>
        </w:numPr>
        <w:tabs>
          <w:tab w:val="left" w:pos="720"/>
        </w:tabs>
        <w:spacing w:before="120" w:line="360" w:lineRule="auto"/>
        <w:contextualSpacing w:val="0"/>
        <w:jc w:val="both"/>
        <w:rPr>
          <w:rFonts w:cs="Arial"/>
        </w:rPr>
      </w:pPr>
      <w:r>
        <w:rPr>
          <w:rFonts w:cs="Arial"/>
        </w:rPr>
        <w:t>Administration/Case Management/Settlement;</w:t>
      </w:r>
    </w:p>
    <w:p w:rsidR="00DD5FC8" w:rsidRDefault="00A80091">
      <w:pPr>
        <w:pStyle w:val="ListParagraph"/>
        <w:numPr>
          <w:ilvl w:val="0"/>
          <w:numId w:val="5"/>
        </w:numPr>
        <w:tabs>
          <w:tab w:val="left" w:pos="720"/>
        </w:tabs>
        <w:spacing w:line="360" w:lineRule="auto"/>
        <w:contextualSpacing w:val="0"/>
        <w:jc w:val="both"/>
        <w:rPr>
          <w:rFonts w:cs="Arial"/>
        </w:rPr>
      </w:pPr>
      <w:r>
        <w:rPr>
          <w:rFonts w:cs="Arial"/>
        </w:rPr>
        <w:t>Policy;</w:t>
      </w:r>
    </w:p>
    <w:p w:rsidR="00DD5FC8" w:rsidRDefault="00A80091">
      <w:pPr>
        <w:pStyle w:val="ListParagraph"/>
        <w:numPr>
          <w:ilvl w:val="0"/>
          <w:numId w:val="5"/>
        </w:numPr>
        <w:tabs>
          <w:tab w:val="left" w:pos="720"/>
        </w:tabs>
        <w:spacing w:line="360" w:lineRule="auto"/>
        <w:contextualSpacing w:val="0"/>
        <w:jc w:val="both"/>
        <w:rPr>
          <w:rFonts w:cs="Arial"/>
        </w:rPr>
      </w:pPr>
      <w:r>
        <w:rPr>
          <w:rFonts w:cs="Arial"/>
        </w:rPr>
        <w:t>Revenue Requirement;</w:t>
      </w:r>
    </w:p>
    <w:p w:rsidR="00DD5FC8" w:rsidRDefault="00A80091" w:rsidP="008223C0">
      <w:pPr>
        <w:pStyle w:val="ListParagraph"/>
        <w:numPr>
          <w:ilvl w:val="3"/>
          <w:numId w:val="5"/>
        </w:numPr>
        <w:tabs>
          <w:tab w:val="left" w:pos="720"/>
        </w:tabs>
        <w:spacing w:line="360" w:lineRule="auto"/>
        <w:ind w:left="1800"/>
        <w:contextualSpacing w:val="0"/>
        <w:jc w:val="both"/>
        <w:rPr>
          <w:rFonts w:cs="Arial"/>
        </w:rPr>
      </w:pPr>
      <w:r>
        <w:rPr>
          <w:rFonts w:cs="Arial"/>
        </w:rPr>
        <w:t>Operations and maintenance or “O&amp;M” Expense;</w:t>
      </w:r>
    </w:p>
    <w:p w:rsidR="00DD5FC8" w:rsidRDefault="00A80091" w:rsidP="008223C0">
      <w:pPr>
        <w:pStyle w:val="ListParagraph"/>
        <w:numPr>
          <w:ilvl w:val="3"/>
          <w:numId w:val="5"/>
        </w:numPr>
        <w:tabs>
          <w:tab w:val="left" w:pos="720"/>
        </w:tabs>
        <w:spacing w:line="360" w:lineRule="auto"/>
        <w:ind w:left="1800"/>
        <w:contextualSpacing w:val="0"/>
        <w:jc w:val="both"/>
        <w:rPr>
          <w:rFonts w:cs="Arial"/>
        </w:rPr>
      </w:pPr>
      <w:r>
        <w:rPr>
          <w:rFonts w:cs="Arial"/>
        </w:rPr>
        <w:t>Payroll;</w:t>
      </w:r>
    </w:p>
    <w:p w:rsidR="00DD5FC8" w:rsidRDefault="00A80091" w:rsidP="008223C0">
      <w:pPr>
        <w:pStyle w:val="ListParagraph"/>
        <w:numPr>
          <w:ilvl w:val="3"/>
          <w:numId w:val="5"/>
        </w:numPr>
        <w:tabs>
          <w:tab w:val="left" w:pos="720"/>
        </w:tabs>
        <w:spacing w:line="360" w:lineRule="auto"/>
        <w:ind w:left="1800"/>
        <w:contextualSpacing w:val="0"/>
        <w:jc w:val="both"/>
        <w:rPr>
          <w:rFonts w:cs="Arial"/>
        </w:rPr>
      </w:pPr>
      <w:r>
        <w:rPr>
          <w:rFonts w:cs="Arial"/>
        </w:rPr>
        <w:t xml:space="preserve">Employee Benefits; </w:t>
      </w:r>
    </w:p>
    <w:p w:rsidR="00DD5FC8" w:rsidRDefault="00A80091" w:rsidP="008223C0">
      <w:pPr>
        <w:pStyle w:val="ListParagraph"/>
        <w:numPr>
          <w:ilvl w:val="3"/>
          <w:numId w:val="5"/>
        </w:numPr>
        <w:tabs>
          <w:tab w:val="left" w:pos="720"/>
        </w:tabs>
        <w:spacing w:line="360" w:lineRule="auto"/>
        <w:ind w:left="1800"/>
        <w:contextualSpacing w:val="0"/>
        <w:jc w:val="both"/>
        <w:rPr>
          <w:rFonts w:cs="Arial"/>
        </w:rPr>
      </w:pPr>
      <w:r>
        <w:rPr>
          <w:rFonts w:cs="Arial"/>
        </w:rPr>
        <w:t>Miscellaneous Accounting;</w:t>
      </w:r>
    </w:p>
    <w:p w:rsidR="00DD5FC8" w:rsidRDefault="00A80091">
      <w:pPr>
        <w:pStyle w:val="ListParagraph"/>
        <w:numPr>
          <w:ilvl w:val="0"/>
          <w:numId w:val="5"/>
        </w:numPr>
        <w:tabs>
          <w:tab w:val="left" w:pos="720"/>
        </w:tabs>
        <w:spacing w:line="360" w:lineRule="auto"/>
        <w:contextualSpacing w:val="0"/>
        <w:jc w:val="both"/>
        <w:rPr>
          <w:rFonts w:cs="Arial"/>
        </w:rPr>
      </w:pPr>
      <w:r>
        <w:rPr>
          <w:rFonts w:cs="Arial"/>
        </w:rPr>
        <w:t>Rate Base;</w:t>
      </w:r>
    </w:p>
    <w:p w:rsidR="00DD5FC8" w:rsidRDefault="00A80091">
      <w:pPr>
        <w:pStyle w:val="ListParagraph"/>
        <w:numPr>
          <w:ilvl w:val="0"/>
          <w:numId w:val="5"/>
        </w:numPr>
        <w:tabs>
          <w:tab w:val="left" w:pos="720"/>
        </w:tabs>
        <w:spacing w:line="360" w:lineRule="auto"/>
        <w:contextualSpacing w:val="0"/>
        <w:jc w:val="both"/>
        <w:rPr>
          <w:rFonts w:cs="Arial"/>
        </w:rPr>
      </w:pPr>
      <w:r>
        <w:rPr>
          <w:rFonts w:cs="Arial"/>
        </w:rPr>
        <w:t xml:space="preserve">Debt Service Coverage/Return; </w:t>
      </w:r>
    </w:p>
    <w:p w:rsidR="00DD5FC8" w:rsidRDefault="00A80091">
      <w:pPr>
        <w:pStyle w:val="ListParagraph"/>
        <w:numPr>
          <w:ilvl w:val="0"/>
          <w:numId w:val="5"/>
        </w:numPr>
        <w:tabs>
          <w:tab w:val="left" w:pos="720"/>
        </w:tabs>
        <w:spacing w:line="360" w:lineRule="auto"/>
        <w:contextualSpacing w:val="0"/>
        <w:jc w:val="both"/>
        <w:rPr>
          <w:rFonts w:cs="Arial"/>
        </w:rPr>
      </w:pPr>
      <w:r>
        <w:rPr>
          <w:rFonts w:cs="Arial"/>
        </w:rPr>
        <w:t>Consumption;</w:t>
      </w:r>
    </w:p>
    <w:p w:rsidR="00DD5FC8" w:rsidRDefault="00A80091">
      <w:pPr>
        <w:pStyle w:val="ListParagraph"/>
        <w:numPr>
          <w:ilvl w:val="0"/>
          <w:numId w:val="5"/>
        </w:numPr>
        <w:tabs>
          <w:tab w:val="left" w:pos="720"/>
        </w:tabs>
        <w:spacing w:line="360" w:lineRule="auto"/>
        <w:contextualSpacing w:val="0"/>
        <w:jc w:val="both"/>
        <w:rPr>
          <w:rFonts w:cs="Arial"/>
        </w:rPr>
      </w:pPr>
      <w:r>
        <w:rPr>
          <w:rFonts w:cs="Arial"/>
        </w:rPr>
        <w:t xml:space="preserve">Cost Allocation; </w:t>
      </w:r>
    </w:p>
    <w:p w:rsidR="00DD5FC8" w:rsidRDefault="00A80091">
      <w:pPr>
        <w:pStyle w:val="ListParagraph"/>
        <w:numPr>
          <w:ilvl w:val="0"/>
          <w:numId w:val="5"/>
        </w:numPr>
        <w:tabs>
          <w:tab w:val="left" w:pos="720"/>
        </w:tabs>
        <w:spacing w:line="360" w:lineRule="auto"/>
        <w:contextualSpacing w:val="0"/>
        <w:jc w:val="both"/>
        <w:rPr>
          <w:rFonts w:cs="Arial"/>
        </w:rPr>
      </w:pPr>
      <w:r>
        <w:rPr>
          <w:rFonts w:cs="Arial"/>
        </w:rPr>
        <w:t>Rate Design;</w:t>
      </w:r>
    </w:p>
    <w:p w:rsidR="00DD5FC8" w:rsidRDefault="00A80091">
      <w:pPr>
        <w:pStyle w:val="ListParagraph"/>
        <w:numPr>
          <w:ilvl w:val="0"/>
          <w:numId w:val="5"/>
        </w:numPr>
        <w:tabs>
          <w:tab w:val="left" w:pos="720"/>
        </w:tabs>
        <w:spacing w:line="360" w:lineRule="auto"/>
        <w:contextualSpacing w:val="0"/>
        <w:jc w:val="both"/>
        <w:rPr>
          <w:rFonts w:cs="Arial"/>
        </w:rPr>
      </w:pPr>
      <w:r>
        <w:rPr>
          <w:rFonts w:cs="Arial"/>
        </w:rPr>
        <w:t xml:space="preserve">Depreciation; and  </w:t>
      </w:r>
    </w:p>
    <w:p w:rsidR="00DD5FC8" w:rsidRDefault="00A80091">
      <w:pPr>
        <w:pStyle w:val="ListParagraph"/>
        <w:numPr>
          <w:ilvl w:val="0"/>
          <w:numId w:val="5"/>
        </w:numPr>
        <w:tabs>
          <w:tab w:val="left" w:pos="720"/>
        </w:tabs>
        <w:spacing w:line="360" w:lineRule="auto"/>
        <w:contextualSpacing w:val="0"/>
        <w:jc w:val="both"/>
        <w:rPr>
          <w:rFonts w:cs="Arial"/>
        </w:rPr>
      </w:pPr>
      <w:r>
        <w:rPr>
          <w:rFonts w:cs="Arial"/>
        </w:rPr>
        <w:t>Rate Case Expenses.</w:t>
      </w:r>
    </w:p>
    <w:p w:rsidR="00DD5FC8" w:rsidRDefault="00A80091">
      <w:pPr>
        <w:pStyle w:val="Heading1"/>
      </w:pPr>
      <w:bookmarkStart w:id="10" w:name="_Toc5787581"/>
      <w:r>
        <w:t>OPINIONS AND CONCLUSIONS</w:t>
      </w:r>
      <w:bookmarkEnd w:id="10"/>
    </w:p>
    <w:p w:rsidR="00DD5FC8" w:rsidRDefault="00A80091">
      <w:pPr>
        <w:pStyle w:val="Questions"/>
      </w:pPr>
      <w:r>
        <w:t>Q.</w:t>
      </w:r>
      <w:r>
        <w:tab/>
        <w:t>IN YOUR OPINION, WAS IT REASONABLE AND NECESSARY FOR THE CITY TO RETAIN OUTSIDE LEGAL COUNSEL AND OTHER RESOURCES TO PREPARE AND PROSECUTE THIS CASE?</w:t>
      </w:r>
    </w:p>
    <w:p w:rsidR="00DD5FC8" w:rsidRDefault="00A80091">
      <w:pPr>
        <w:pStyle w:val="Answers"/>
      </w:pPr>
      <w:r>
        <w:t>A.</w:t>
      </w:r>
      <w:r>
        <w:tab/>
        <w:t xml:space="preserve">Yes.  The Commission has relatively little recent history in considering municipal water and sewer utility rate cases. The Commission only recently re-acquired </w:t>
      </w:r>
      <w:r>
        <w:lastRenderedPageBreak/>
        <w:t>jurisdiction over water and sewer rates (effective September 1, 2014).</w:t>
      </w:r>
      <w:r>
        <w:rPr>
          <w:rStyle w:val="FootnoteReference"/>
        </w:rPr>
        <w:footnoteReference w:id="14"/>
      </w:r>
      <w:r>
        <w:t xml:space="preserve">  Thus, there is very little authority specifically governing municipal utility rate approval.  This has contributed to the complex challenges faced by the City and its rate case team.  In many ways, however, this rate case resembles other rate cases that are commonly heard by the Commission.  This is particularly true with regard to the planning, process, and effort that must be undertaken to develop, prepare, and file the required materials and prosecute the case.  While the City has some in-house regulatory expertise, it does not have sufficient legal and consulting resources to properly and timely plan and prepare the required case materials.  In my experience, most utilities, whether they are municipal or investor-owned, require substantial external resources when prosecuting a rate case such as this one.  It is the common practice in Texas to engage outside counsel to prosecute rate case proceedings.</w:t>
      </w:r>
    </w:p>
    <w:p w:rsidR="00DD5FC8" w:rsidRDefault="00A80091">
      <w:pPr>
        <w:pStyle w:val="Questions"/>
      </w:pPr>
      <w:r>
        <w:t>Q.</w:t>
      </w:r>
      <w:r>
        <w:tab/>
        <w:t>WAS IT REASONABLE FOR THE CITY TO SELECT LLOYD GOSSELINK AS ITS OUTSIDE COUNSEL?</w:t>
      </w:r>
    </w:p>
    <w:p w:rsidR="00DD5FC8" w:rsidRDefault="00A80091">
      <w:pPr>
        <w:pStyle w:val="Answers"/>
      </w:pPr>
      <w:r>
        <w:t>A.</w:t>
      </w:r>
      <w:r>
        <w:tab/>
        <w:t>Yes.  Lloyd Gosselink is a highly experienced and respected law firm with particular expertise in administrative law, the regulation of utilities, the representation of municipalities, and rate case and other litigation before administrative agencies.  In my opinion, Lloyd Gosselink is well positioned to zealously represent the City in an efficient and professional manner.</w:t>
      </w:r>
    </w:p>
    <w:p w:rsidR="00DD5FC8" w:rsidRDefault="00A80091" w:rsidP="0023092B">
      <w:pPr>
        <w:pStyle w:val="Questions"/>
        <w:keepNext/>
        <w:keepLines/>
      </w:pPr>
      <w:r>
        <w:lastRenderedPageBreak/>
        <w:t>Q.</w:t>
      </w:r>
      <w:r>
        <w:tab/>
        <w:t>PLEASE SUMMARIZE YOUR OPINIONS REGARDING THE RATE CASE TEAM.</w:t>
      </w:r>
    </w:p>
    <w:p w:rsidR="00DD5FC8" w:rsidRDefault="00A80091">
      <w:pPr>
        <w:pStyle w:val="Answers"/>
      </w:pPr>
      <w:r>
        <w:t>A.</w:t>
      </w:r>
      <w:r>
        <w:tab/>
        <w:t>In my opinion, the rate case team that Lloyd Gosselink has assembled is experienced and well-qualified to serve the City in this matter.  The attorneys and support staff have diverse skills, experience, and billing rates, all of which allow Lloyd Gosselink to staff this case in a lean and reasonable manner.  The team’s approach in this case is well designed and consistent with the approach I have seen other utilities use in rate cases.  It is a responsible and reasonable way to prepare and prosecute this case.</w:t>
      </w:r>
    </w:p>
    <w:p w:rsidR="00DD5FC8" w:rsidRDefault="00A80091">
      <w:pPr>
        <w:pStyle w:val="Questions"/>
      </w:pPr>
      <w:r>
        <w:t>Q.</w:t>
      </w:r>
      <w:r>
        <w:tab/>
        <w:t>ARE THE BILLING PROCESSES AND CATEGORIES UTILIZED BY LLOYD GOSSELINK IN THIS CASE REASONABLE?</w:t>
      </w:r>
    </w:p>
    <w:p w:rsidR="00DD5FC8" w:rsidRDefault="00A80091">
      <w:pPr>
        <w:pStyle w:val="Answers"/>
      </w:pPr>
      <w:r>
        <w:t>A.</w:t>
      </w:r>
      <w:r>
        <w:tab/>
        <w:t xml:space="preserve">Yes. In my opinion Lloyd Gosselink’s billing processes and categories are reasonable.  The cost-control and billing measures that the firm has put in place reflect prudent management of the fees and expenses incurred in connection with this rate case.  Furthermore, the 13 billing categories that the attorneys are using in this rate case adequately and reasonably describe billing tasks in a level of detail that comports with Commission policy in other rate cases.  These categories cover the substantive issues that should be reasonably expected in a rate case like this one, and they allow the Commission and intervenors to assess rate case expenses by issue.  Additionally, the categories are not so detailed that they disclose client confidences or burden the utility with unnecessary administrative costs.  More specific substantive issues could, and probably will, arise during the course of this case.  In my opinion, at this point in the process it is difficult to anticipate which, if any, of these substantive issues are or could become suitable for separate tracking.  The rate case team will </w:t>
      </w:r>
      <w:r>
        <w:lastRenderedPageBreak/>
        <w:t>continue to describe the time spent on individual tasks, so that more billing categories may be added or refined, if necessary, as the case proceeds.</w:t>
      </w:r>
    </w:p>
    <w:p w:rsidR="00DD5FC8" w:rsidRDefault="00A80091">
      <w:pPr>
        <w:pStyle w:val="Questions"/>
      </w:pPr>
      <w:r>
        <w:t>Q.</w:t>
      </w:r>
      <w:r>
        <w:tab/>
        <w:t xml:space="preserve">DO THE CITY’S RATE CASE EXPENSES MEET THE STANDARDS FOR REASONABLENESS UNDER THE </w:t>
      </w:r>
      <w:r>
        <w:rPr>
          <w:i/>
        </w:rPr>
        <w:t>CITY OF EL PASO</w:t>
      </w:r>
      <w:r>
        <w:t xml:space="preserve"> CASE AND 16 TAC § 25.245 APPLICABLE TO ELECTRIC UTILITIES?</w:t>
      </w:r>
    </w:p>
    <w:p w:rsidR="00DD5FC8" w:rsidRDefault="00A80091">
      <w:pPr>
        <w:pStyle w:val="Answers"/>
      </w:pPr>
      <w:r>
        <w:t>A.</w:t>
      </w:r>
      <w:r>
        <w:tab/>
        <w:t xml:space="preserve">Yes.  The City’s rate case expenses are reasonable in light of the </w:t>
      </w:r>
      <w:r>
        <w:rPr>
          <w:i/>
        </w:rPr>
        <w:t>City of El Paso</w:t>
      </w:r>
      <w:r>
        <w:t xml:space="preserve"> standards and the factors used in electric utility rate cases.</w:t>
      </w:r>
    </w:p>
    <w:p w:rsidR="00DD5FC8" w:rsidRDefault="00A80091">
      <w:pPr>
        <w:pStyle w:val="Questions"/>
      </w:pPr>
      <w:r>
        <w:t>Q.</w:t>
      </w:r>
      <w:r>
        <w:tab/>
        <w:t xml:space="preserve">PLEASE SUMMARIZE YOUR OPINIONS CONCERNING THE FACTORS DISCUSSED IN THE </w:t>
      </w:r>
      <w:r>
        <w:rPr>
          <w:i/>
        </w:rPr>
        <w:t>CITY OF EL PASO</w:t>
      </w:r>
      <w:r>
        <w:t xml:space="preserve"> CASE.</w:t>
      </w:r>
    </w:p>
    <w:p w:rsidR="00DD5FC8" w:rsidRDefault="00A80091">
      <w:pPr>
        <w:pStyle w:val="Answers"/>
      </w:pPr>
      <w:r>
        <w:t>A.</w:t>
      </w:r>
      <w:r>
        <w:tab/>
      </w:r>
      <w:r>
        <w:rPr>
          <w:i/>
        </w:rPr>
        <w:t>Time and Labor Required/Nature and Complexities of the Case</w:t>
      </w:r>
      <w:r>
        <w:t xml:space="preserve">.  The fees, expenses, and hourly rates I reviewed are consistent with the time and labor required, novelty and difficulty of the issues, and the skill necessary to properly perform the legal services in this case.  Historically, the City has conducted its own ratemaking process.  There is no template for this case, and many of the issues faced by the City and the legal team must be freshly considered.  For example, it is my understanding that the Commission has no RFP tailored to this particular type of case, so the City prepared its case at Commission Staff’s recommendation utilizing the RFP applicable to Class A investor-owned water utilities.  Rate cases in general require a lot of expertise and time, and the unique procedural posture of this case, in addition to the substantial lack of precedent, creates complex challenges for the City and its rate case team.  </w:t>
      </w:r>
    </w:p>
    <w:p w:rsidR="00DD5FC8" w:rsidRDefault="00A80091">
      <w:pPr>
        <w:pStyle w:val="Answer2"/>
      </w:pPr>
      <w:r>
        <w:rPr>
          <w:i/>
        </w:rPr>
        <w:t>The Fee Customarily Charged in Locality for Similar Legal Services</w:t>
      </w:r>
      <w:r>
        <w:t xml:space="preserve">.  The hourly rates I reviewed in this case are customary in the locality for similar legal services.  It is reasonable and customary to charge hourly rates for legal services rendered on behalf of utilities in cases before the Commission.  Based upon my </w:t>
      </w:r>
      <w:r>
        <w:lastRenderedPageBreak/>
        <w:t xml:space="preserve">experience in other rate cases, the hourly rates charged by the lawyers and support personnel on behalf of the City in this case are more than reasonable and generally lower than the rates charged by other lawyers and supporting resources representing utilities in rate proceedings before the Commission.  This is largely due to the size of the City and the fact that the rates charged to municipalities, generally, tend to be on the lower end of the market, due to cities’ needs to keep costs down. </w:t>
      </w:r>
    </w:p>
    <w:p w:rsidR="00DD5FC8" w:rsidRDefault="00A80091">
      <w:pPr>
        <w:pStyle w:val="Answer2"/>
      </w:pPr>
      <w:r>
        <w:rPr>
          <w:i/>
        </w:rPr>
        <w:t>Amount of Money or Value of Property or Interest at Stake</w:t>
      </w:r>
      <w:r>
        <w:t xml:space="preserve">.  The City’s interest in this proceeding is significant.  The City rarely litigates rate cases before the Commission, and was unable to recover rate case expenses incurred in Docket No. 42857.  A utility must be allowed to recover its reasonable and necessary rate case expenses in order to recover its full reasonable cost of doing business.  Therefore, the City has a large interest in the outcome of this proceeding. </w:t>
      </w:r>
    </w:p>
    <w:p w:rsidR="00DD5FC8" w:rsidRDefault="00A80091">
      <w:pPr>
        <w:pStyle w:val="Answer2"/>
      </w:pPr>
      <w:r>
        <w:rPr>
          <w:i/>
        </w:rPr>
        <w:t>Extent of Responsibilities and Potential Loss of Other Employment</w:t>
      </w:r>
      <w:r>
        <w:t>.  Lloyd Gosselink’s engagement to represent the City in this rate case is likely to preclude other employment for the firm and its lawyers.  Cost of service rate cases require an enormous time commitment that may require the lawyers working on the matter to devote their time exclusively, or almost exclusively, to the utility client for a considerable period of time.  Furthermore, because the City is a municipal utility, the process of moving through a rate case is more cumbersome than for an investor</w:t>
      </w:r>
      <w:r w:rsidR="008223C0">
        <w:noBreakHyphen/>
      </w:r>
      <w:r>
        <w:t xml:space="preserve">owned utility. Lloyd Gosselink must work closely with city management, utility management, and the Austin City Council.  The number of people that must be included in the process requires the legal team to devote substantial time and resources to case management and oversight.  This time commitment may make it </w:t>
      </w:r>
      <w:r>
        <w:lastRenderedPageBreak/>
        <w:t>extremely difficult or impossible for individual attorneys to accept new clients for any kind of material commitment or work on other matters.</w:t>
      </w:r>
    </w:p>
    <w:p w:rsidR="00DD5FC8" w:rsidRDefault="00A80091">
      <w:pPr>
        <w:pStyle w:val="Answer2"/>
      </w:pPr>
      <w:r>
        <w:rPr>
          <w:i/>
        </w:rPr>
        <w:t>Benefits to Client</w:t>
      </w:r>
      <w:r>
        <w:t>.  The City derives a large benefit from having this team handle the rate case.  I do not believe that the City could successfully and timely prepare and prosecute this rate case without substantial additional resources and expertise.  These cases do not occur frequently, so it makes more sense to use external resources for this type of project.  In my experience, most utilities, whether they are municipal or investor-owned, require substantial external resources when prosecuting a rate case such as this one</w:t>
      </w:r>
      <w:r w:rsidR="008223C0">
        <w:t>,</w:t>
      </w:r>
      <w:r>
        <w:t xml:space="preserve"> and it is the common practice in Texas.</w:t>
      </w:r>
    </w:p>
    <w:p w:rsidR="00DD5FC8" w:rsidRDefault="00A80091">
      <w:pPr>
        <w:pStyle w:val="Questions"/>
      </w:pPr>
      <w:r>
        <w:t>Q.</w:t>
      </w:r>
      <w:r>
        <w:tab/>
        <w:t>PLEASE SUMMARIZE YOUR OPINIONS CONCERNING HOW THE CITY’S RATE CASE EXPENSES SATISFY STANDARDS FOR REASONABLENESS UNDER 16 TAC §</w:t>
      </w:r>
      <w:r w:rsidR="0023092B">
        <w:t> </w:t>
      </w:r>
      <w:r>
        <w:t>25.245(</w:t>
      </w:r>
      <w:r>
        <w:rPr>
          <w:caps w:val="0"/>
        </w:rPr>
        <w:t>b</w:t>
      </w:r>
      <w:r>
        <w:t>) APPLICABLE TO ELECTRIC UTILITIES.</w:t>
      </w:r>
    </w:p>
    <w:p w:rsidR="00DD5FC8" w:rsidRDefault="00A80091">
      <w:pPr>
        <w:pStyle w:val="Answers"/>
      </w:pPr>
      <w:r>
        <w:t>A.</w:t>
      </w:r>
      <w:r>
        <w:tab/>
        <w:t xml:space="preserve">Based on those factors that can be addressed at this point in the proceeding, the City’s rate case expenses are reasonable under 16 TAC § 25.245(b).  As noted above, this case is unusual and will require a substantial amount of time and effort on the part of the attorneys involved.  The rates charged for each of the attorneys working on the case are reasonable given the time commitment and experience level of each of the attorneys.  While it is not possible this early in the proceeding to fully evaluate the factors regarding expenses incurred for travel, the nature and scope of the rate case, and the specific issues in the rate case, I believe the City and Lloyd Gosselink have put measures in place to make sure that the rate case expenses incurred throughout this rate proceeding remain reasonable in light of the unique issues presented in this case.  For example, establishment of the 13 billing categories directly corresponds to </w:t>
      </w:r>
      <w:r>
        <w:lastRenderedPageBreak/>
        <w:t>the requirement of 16 TAC § 25.245(b)(6). Also, as discussed above, the City employees and outside consultants are encouraged to avoid luxury or unnecessary travel expenses throughout the rate case proceeding, which helps to manage costs of travel.  All of these factors weigh in favor of finding that the City’s rate case expenses are reasonable.</w:t>
      </w:r>
    </w:p>
    <w:p w:rsidR="00DD5FC8" w:rsidRDefault="00A80091">
      <w:pPr>
        <w:pStyle w:val="Questions"/>
      </w:pPr>
      <w:r>
        <w:t>Q.</w:t>
      </w:r>
      <w:r>
        <w:tab/>
        <w:t>IN YOUR OPINION, SHOULD ANY OF THE CITY’S RATE CASE EXPENSES BE EXCLUDED FROM RECOVERY?</w:t>
      </w:r>
    </w:p>
    <w:p w:rsidR="00DD5FC8" w:rsidRDefault="00A80091">
      <w:pPr>
        <w:pStyle w:val="Answers"/>
      </w:pPr>
      <w:r>
        <w:t>A.</w:t>
      </w:r>
      <w:r>
        <w:tab/>
        <w:t>No.  Overall, the fees paid to, tasks performed by, and the time spent on this case by the outside legal team and myself as a rate case expense consultant were not extreme or excessive and are reasonable.  Although all costs for lodging, travel, and meals have not yet been incurred, the City has encouraged its employees, lawyers, and consultants to steer clear of travel expenses that are luxurious or unnecessary.  Moreover, by clearly delineating areas of responsibility for each witness and lawyer, the City has minimized duplication of effort.  Also, the City’s proposals in this case were based on law, fact, and warranted based on Commission precedent in other rate cases.  In general, the City’s rate case expenses were proportionate and warranted in relation to the nature and scope of this case, taking into consideration the City’s size, its customers, the amount on money at stake, and the complexity of the issues.  Furthermore, the City has provided sufficient information, as required under Commission precedent, to claim recovery of rate case expenses.  For all of these reasons and the reasons noted above, the City should be permitted to recover its rate case expenses.  If the rate case expense issue does not settle, I will provide supplemental direct testimony or an affidavit concerning the expenses incurred after March 31, 2019.</w:t>
      </w:r>
      <w:bookmarkStart w:id="11" w:name="_Toc335984910"/>
      <w:bookmarkStart w:id="12" w:name="_Toc335985175"/>
      <w:r>
        <w:t xml:space="preserve"> </w:t>
      </w:r>
    </w:p>
    <w:p w:rsidR="00DD5FC8" w:rsidRDefault="00A80091">
      <w:pPr>
        <w:pStyle w:val="Questions"/>
      </w:pPr>
      <w:r>
        <w:lastRenderedPageBreak/>
        <w:t>Q.</w:t>
      </w:r>
      <w:r>
        <w:tab/>
        <w:t>IN YOUR OPINION, WERE THE FEES YOU CHARGED AS A CONSULTANT IN THIS CASE REASONABLE?</w:t>
      </w:r>
    </w:p>
    <w:p w:rsidR="00DD5FC8" w:rsidRDefault="00A80091">
      <w:pPr>
        <w:pStyle w:val="Answers"/>
      </w:pPr>
      <w:r>
        <w:t>A.</w:t>
      </w:r>
      <w:r>
        <w:tab/>
        <w:t>Yes.  I bill by the hour, as is common and accepted practice.  My $500 per hour rate is well within the reasonable range of rates charged by other lawyers and consultants providing this type of testimony before the Commission.  I also utilized the assistance of a junior associate billing at $266 per hour to more efficiently and cost-effectively assist me in the review of legal invoices and the preparation of my direct testimony.  The invoices for my services are included in Schedule II-E-4.4 of the RFP.</w:t>
      </w:r>
    </w:p>
    <w:p w:rsidR="00DD5FC8" w:rsidRDefault="00A80091">
      <w:pPr>
        <w:pStyle w:val="Heading1"/>
      </w:pPr>
      <w:bookmarkStart w:id="13" w:name="_Toc5787582"/>
      <w:r>
        <w:t>conclusion</w:t>
      </w:r>
      <w:bookmarkEnd w:id="11"/>
      <w:bookmarkEnd w:id="12"/>
      <w:bookmarkEnd w:id="13"/>
    </w:p>
    <w:p w:rsidR="00DD5FC8" w:rsidRDefault="00A80091">
      <w:pPr>
        <w:pStyle w:val="Questions"/>
      </w:pPr>
      <w:r>
        <w:t>Q.</w:t>
      </w:r>
      <w:r>
        <w:tab/>
        <w:t>DOES THIS CONCLUDE YOUR DIRECT TESTIMONY?</w:t>
      </w:r>
    </w:p>
    <w:p w:rsidR="00DD5FC8" w:rsidRDefault="002D34A6">
      <w:pPr>
        <w:pStyle w:val="Answers"/>
        <w:sectPr w:rsidR="00DD5FC8">
          <w:pgSz w:w="12240" w:h="15840" w:code="1"/>
          <w:pgMar w:top="1440" w:right="1440" w:bottom="1440" w:left="1800" w:header="720" w:footer="720" w:gutter="0"/>
          <w:lnNumType w:countBy="1"/>
          <w:cols w:space="720"/>
          <w:docGrid w:linePitch="360"/>
        </w:sectPr>
      </w:pPr>
      <w:r>
        <w:t>A.</w:t>
      </w:r>
      <w:r>
        <w:tab/>
        <w:t>Yes</w:t>
      </w:r>
    </w:p>
    <w:bookmarkEnd w:id="4"/>
    <w:p w:rsidR="00DD5FC8" w:rsidRDefault="00DD5FC8" w:rsidP="002D34A6">
      <w:pPr>
        <w:pStyle w:val="LGSignature"/>
        <w:ind w:left="0"/>
      </w:pPr>
    </w:p>
    <w:sectPr w:rsidR="00DD5FC8">
      <w:pgSz w:w="12240" w:h="15840" w:code="1"/>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E81" w:rsidRDefault="00FF2E81">
      <w:r>
        <w:separator/>
      </w:r>
    </w:p>
  </w:endnote>
  <w:endnote w:type="continuationSeparator" w:id="0">
    <w:p w:rsidR="00FF2E81" w:rsidRDefault="00FF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FC8" w:rsidRDefault="00A80091">
    <w:pPr>
      <w:pStyle w:val="Footer"/>
    </w:pPr>
    <w:r>
      <w:rPr>
        <w:rStyle w:val="DocID"/>
      </w:rPr>
      <w:fldChar w:fldCharType="begin"/>
    </w:r>
    <w:r>
      <w:rPr>
        <w:rStyle w:val="DocID"/>
      </w:rPr>
      <w:instrText xml:space="preserve"> DOCPROPERTY "DocID" \* MERGEFORMAT </w:instrText>
    </w:r>
    <w:r>
      <w:rPr>
        <w:rStyle w:val="DocID"/>
      </w:rPr>
      <w:fldChar w:fldCharType="separate"/>
    </w:r>
    <w:r w:rsidR="000E1318">
      <w:rPr>
        <w:rStyle w:val="DocID"/>
      </w:rPr>
      <w:t>2242529.1</w:t>
    </w:r>
    <w:r>
      <w:rPr>
        <w:rStyle w:val="DocI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FC8" w:rsidRDefault="00A80091">
    <w:pPr>
      <w:tabs>
        <w:tab w:val="right" w:pos="9000"/>
      </w:tabs>
      <w:rPr>
        <w:sz w:val="18"/>
        <w:szCs w:val="18"/>
      </w:rPr>
    </w:pPr>
    <w:r>
      <w:rPr>
        <w:sz w:val="18"/>
        <w:szCs w:val="18"/>
      </w:rPr>
      <w:t>DOCKET NO. 49189</w:t>
    </w:r>
    <w:r>
      <w:rPr>
        <w:sz w:val="18"/>
        <w:szCs w:val="18"/>
      </w:rPr>
      <w:tab/>
      <w:t>DIRECT TESTIMONY</w:t>
    </w:r>
  </w:p>
  <w:p w:rsidR="00DD5FC8" w:rsidRDefault="00A80091">
    <w:pPr>
      <w:tabs>
        <w:tab w:val="center" w:pos="4320"/>
        <w:tab w:val="right" w:pos="9000"/>
      </w:tabs>
      <w:jc w:val="right"/>
      <w:rPr>
        <w:sz w:val="18"/>
        <w:szCs w:val="18"/>
      </w:rPr>
    </w:pPr>
    <w:r>
      <w:rPr>
        <w:sz w:val="18"/>
        <w:szCs w:val="18"/>
      </w:rPr>
      <w:tab/>
    </w:r>
    <w:r>
      <w:rPr>
        <w:sz w:val="20"/>
        <w:szCs w:val="20"/>
      </w:rPr>
      <w:fldChar w:fldCharType="begin"/>
    </w:r>
    <w:r>
      <w:rPr>
        <w:sz w:val="20"/>
        <w:szCs w:val="20"/>
      </w:rPr>
      <w:instrText xml:space="preserve"> PAGE   \* MERGEFORMAT </w:instrText>
    </w:r>
    <w:r>
      <w:rPr>
        <w:sz w:val="20"/>
        <w:szCs w:val="20"/>
      </w:rPr>
      <w:fldChar w:fldCharType="separate"/>
    </w:r>
    <w:r w:rsidR="000E1318">
      <w:rPr>
        <w:noProof/>
        <w:sz w:val="20"/>
        <w:szCs w:val="20"/>
      </w:rPr>
      <w:t>21</w:t>
    </w:r>
    <w:r>
      <w:rPr>
        <w:noProof/>
        <w:sz w:val="20"/>
        <w:szCs w:val="20"/>
      </w:rPr>
      <w:fldChar w:fldCharType="end"/>
    </w:r>
    <w:r>
      <w:rPr>
        <w:sz w:val="18"/>
        <w:szCs w:val="18"/>
      </w:rPr>
      <w:tab/>
      <w:t>OF TAB R. URBANTKE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E81" w:rsidRDefault="00FF2E81">
      <w:r>
        <w:separator/>
      </w:r>
    </w:p>
  </w:footnote>
  <w:footnote w:type="continuationSeparator" w:id="0">
    <w:p w:rsidR="00FF2E81" w:rsidRDefault="00FF2E81">
      <w:r>
        <w:continuationSeparator/>
      </w:r>
    </w:p>
  </w:footnote>
  <w:footnote w:id="1">
    <w:p w:rsidR="00DD5FC8" w:rsidRDefault="00A80091" w:rsidP="00390542">
      <w:pPr>
        <w:pStyle w:val="LGPUCFootnote"/>
      </w:pPr>
      <w:r>
        <w:rPr>
          <w:rStyle w:val="FootnoteReference"/>
          <w:rFonts w:ascii="Times New Roman" w:hAnsi="Times New Roman" w:cs="Times New Roman"/>
        </w:rPr>
        <w:footnoteRef/>
      </w:r>
      <w:r>
        <w:t xml:space="preserve"> </w:t>
      </w:r>
      <w:r>
        <w:tab/>
      </w:r>
      <w:r w:rsidRPr="00DC22D7">
        <w:rPr>
          <w:i/>
        </w:rPr>
        <w:t>Petition of North Austin Municipal Utility District No. 1, Northtown Municipal Utility District, Travis County Water Control and Improvement District No. 10, and Wells Bra</w:t>
      </w:r>
      <w:r w:rsidR="00390542" w:rsidRPr="00DC22D7">
        <w:rPr>
          <w:i/>
        </w:rPr>
        <w:t>nch Municipal Utility District f</w:t>
      </w:r>
      <w:r w:rsidRPr="00DC22D7">
        <w:rPr>
          <w:i/>
        </w:rPr>
        <w:t>rom the Ratemaking Actions of the City of Austin and Request for Interim Rates in Williamson and Travis Counties</w:t>
      </w:r>
      <w:r>
        <w:t xml:space="preserve">, Docket No. 42857, Order on Rehearing (Jan. 14, 2016). </w:t>
      </w:r>
    </w:p>
  </w:footnote>
  <w:footnote w:id="2">
    <w:p w:rsidR="00DD5FC8" w:rsidRDefault="00A80091">
      <w:pPr>
        <w:pStyle w:val="LGPUCFootnote"/>
      </w:pPr>
      <w:r>
        <w:rPr>
          <w:rStyle w:val="FootnoteReference"/>
        </w:rPr>
        <w:footnoteRef/>
      </w:r>
      <w:r>
        <w:t xml:space="preserve"> </w:t>
      </w:r>
      <w:r>
        <w:tab/>
      </w:r>
      <w:r>
        <w:rPr>
          <w:i/>
        </w:rPr>
        <w:t>Id.</w:t>
      </w:r>
      <w:r>
        <w:t xml:space="preserve"> at 28 (citing </w:t>
      </w:r>
      <w:r>
        <w:rPr>
          <w:i/>
        </w:rPr>
        <w:t>Suburban Util. Corp. v. Pub. Util. Comm’n.</w:t>
      </w:r>
      <w:r>
        <w:t xml:space="preserve">, </w:t>
      </w:r>
      <w:r w:rsidR="00390542">
        <w:t>652 S.W.2d 358, 362 (Tex. 1983)</w:t>
      </w:r>
      <w:r>
        <w:t>; Tex. Water Code Ann. § 13.044 (providing in an appeal of its rates, a municipality must show its rates are reasonable and the Commission may set its rates in a reasonable manner).</w:t>
      </w:r>
    </w:p>
  </w:footnote>
  <w:footnote w:id="3">
    <w:p w:rsidR="00DD5FC8" w:rsidRDefault="00A80091">
      <w:pPr>
        <w:pStyle w:val="LGPUCFootnote"/>
      </w:pPr>
      <w:r>
        <w:rPr>
          <w:rStyle w:val="FootnoteReference"/>
        </w:rPr>
        <w:footnoteRef/>
      </w:r>
      <w:r>
        <w:t xml:space="preserve"> </w:t>
      </w:r>
      <w:r>
        <w:tab/>
      </w:r>
      <w:r>
        <w:rPr>
          <w:i/>
        </w:rPr>
        <w:t>See,</w:t>
      </w:r>
      <w:r>
        <w:t xml:space="preserve"> </w:t>
      </w:r>
      <w:r>
        <w:rPr>
          <w:i/>
        </w:rPr>
        <w:t>e.g.</w:t>
      </w:r>
      <w:r>
        <w:t>, Tex. Util. Code Ann. § 33.023 (authorizing municipalities conducting an electric ratemaking proceeding to engage outside personnel to assist in the proceeding); Tex. Util. Code Ann. § 36.061 (authorizing the recovery of rate case expenses in electric utility rate cases); 16 TAC § 25.245 (summarizing requirements for claiming recovery of rate case expenses in electric utility rate case); and TWC § 13.043(e) (authorizing recovery of reasonable rate case expenses expended by municipality in appeal proceedings concerning its rates).</w:t>
      </w:r>
    </w:p>
  </w:footnote>
  <w:footnote w:id="4">
    <w:p w:rsidR="00DD5FC8" w:rsidRDefault="00A80091" w:rsidP="00DC22D7">
      <w:pPr>
        <w:pStyle w:val="LGPUCFootnote"/>
        <w:keepNext/>
        <w:keepLines/>
        <w:widowControl/>
      </w:pPr>
      <w:r>
        <w:rPr>
          <w:rStyle w:val="FootnoteReference"/>
        </w:rPr>
        <w:footnoteRef/>
      </w:r>
      <w:r>
        <w:t xml:space="preserve"> </w:t>
      </w:r>
      <w:r>
        <w:tab/>
        <w:t>Docket No. 42857, Order on Rehearing at 27 (“The lack of TCEQ or Commission rules guiding the city in the proof it needed to establish a known industry standard—just and reasonable rates—does not constitute a violation of the city’s due process.”).  The Commission recently opened a rulemaking to amend 16</w:t>
      </w:r>
      <w:r w:rsidR="00E00CC3">
        <w:t>0</w:t>
      </w:r>
      <w:r>
        <w:t xml:space="preserve"> TAC § 24.44.  The Strawman filed on January 9, 2019, would amend the rule to provide a list of acceptable evidentiary information that a water utility may file in support of recovering its rate case expenses that largely resembles the factors used in 16 TAC § 25.245 concerning electric utility rate case expenses.  </w:t>
      </w:r>
      <w:r>
        <w:rPr>
          <w:i/>
        </w:rPr>
        <w:t>Rulemaking to Amend §24.44 Rate-Case Expenses Pursuant to Texas Water Code §13.187 and 13.1871</w:t>
      </w:r>
      <w:r>
        <w:t>, Project No.</w:t>
      </w:r>
      <w:r>
        <w:rPr>
          <w:rFonts w:eastAsia="Calibri"/>
          <w:szCs w:val="24"/>
        </w:rPr>
        <w:t xml:space="preserve"> </w:t>
      </w:r>
      <w:r>
        <w:t>48937, Public Notice of Workshop on Strawman Amendments to 16 Texas Administrative Code (TAC) §24.44 and Request for Comments (Jan. 9, 2019) (pending).</w:t>
      </w:r>
    </w:p>
  </w:footnote>
  <w:footnote w:id="5">
    <w:p w:rsidR="00DD5FC8" w:rsidRDefault="00A80091">
      <w:pPr>
        <w:pStyle w:val="LGPUCFootnote"/>
      </w:pPr>
      <w:r>
        <w:rPr>
          <w:rStyle w:val="FootnoteReference"/>
        </w:rPr>
        <w:footnoteRef/>
      </w:r>
      <w:r>
        <w:t xml:space="preserve"> </w:t>
      </w:r>
      <w:r>
        <w:tab/>
      </w:r>
      <w:r>
        <w:rPr>
          <w:i/>
          <w:iCs/>
        </w:rPr>
        <w:t>City of El Paso v. Pub. Util. Comm’n of Texas</w:t>
      </w:r>
      <w:r>
        <w:rPr>
          <w:i/>
        </w:rPr>
        <w:t xml:space="preserve">, </w:t>
      </w:r>
      <w:r>
        <w:t>916 S.W.2d 515, 522 (Tex. App.—Austin 1995, writ dism’d by agr.).</w:t>
      </w:r>
    </w:p>
  </w:footnote>
  <w:footnote w:id="6">
    <w:p w:rsidR="00DD5FC8" w:rsidRDefault="00A80091">
      <w:pPr>
        <w:pStyle w:val="LGPUCFootnote"/>
        <w:rPr>
          <w:i/>
        </w:rPr>
      </w:pPr>
      <w:r>
        <w:rPr>
          <w:rStyle w:val="FootnoteReference"/>
        </w:rPr>
        <w:footnoteRef/>
      </w:r>
      <w:r>
        <w:t xml:space="preserve"> </w:t>
      </w:r>
      <w:r>
        <w:tab/>
      </w:r>
      <w:r>
        <w:rPr>
          <w:i/>
        </w:rPr>
        <w:t>Id.</w:t>
      </w:r>
    </w:p>
  </w:footnote>
  <w:footnote w:id="7">
    <w:p w:rsidR="00DD5FC8" w:rsidRDefault="00A80091">
      <w:pPr>
        <w:pStyle w:val="LGPUCFootnote"/>
        <w:rPr>
          <w:i/>
        </w:rPr>
      </w:pPr>
      <w:r>
        <w:rPr>
          <w:rStyle w:val="FootnoteReference"/>
        </w:rPr>
        <w:footnoteRef/>
      </w:r>
      <w:r>
        <w:t xml:space="preserve"> </w:t>
      </w:r>
      <w:r>
        <w:tab/>
      </w:r>
      <w:r>
        <w:rPr>
          <w:i/>
        </w:rPr>
        <w:t>Id.</w:t>
      </w:r>
    </w:p>
  </w:footnote>
  <w:footnote w:id="8">
    <w:p w:rsidR="00DD5FC8" w:rsidRDefault="00A80091">
      <w:pPr>
        <w:pStyle w:val="LGPUCFootnote"/>
      </w:pPr>
      <w:r>
        <w:rPr>
          <w:rStyle w:val="FootnoteReference"/>
        </w:rPr>
        <w:footnoteRef/>
      </w:r>
      <w:r>
        <w:t xml:space="preserve"> </w:t>
      </w:r>
      <w:r>
        <w:tab/>
        <w:t>Tex. Disciplinary Rules Prof’l Conduct R. 1.04(b), reprinted in Tex. Gov’t Code Ann., tit. 2, subtit. G app. A (Tex. State Bar R. art. X, § 9).</w:t>
      </w:r>
    </w:p>
  </w:footnote>
  <w:footnote w:id="9">
    <w:p w:rsidR="00DD5FC8" w:rsidRDefault="00A80091">
      <w:pPr>
        <w:pStyle w:val="LGPUCFootnote"/>
      </w:pPr>
      <w:r>
        <w:rPr>
          <w:rStyle w:val="FootnoteReference"/>
        </w:rPr>
        <w:footnoteRef/>
      </w:r>
      <w:r>
        <w:t xml:space="preserve"> </w:t>
      </w:r>
      <w:r>
        <w:tab/>
      </w:r>
      <w:r>
        <w:rPr>
          <w:i/>
        </w:rPr>
        <w:t>City of El Paso</w:t>
      </w:r>
      <w:r>
        <w:t xml:space="preserve"> at 522.</w:t>
      </w:r>
    </w:p>
  </w:footnote>
  <w:footnote w:id="10">
    <w:p w:rsidR="00DD5FC8" w:rsidRDefault="00A80091">
      <w:pPr>
        <w:pStyle w:val="LGPUCFootnote"/>
      </w:pPr>
      <w:r>
        <w:rPr>
          <w:rStyle w:val="FootnoteReference"/>
        </w:rPr>
        <w:footnoteRef/>
      </w:r>
      <w:r>
        <w:t xml:space="preserve"> </w:t>
      </w:r>
      <w:r>
        <w:tab/>
        <w:t>16 TAC § 25.245(b).</w:t>
      </w:r>
    </w:p>
  </w:footnote>
  <w:footnote w:id="11">
    <w:p w:rsidR="00DD5FC8" w:rsidRDefault="00A80091">
      <w:pPr>
        <w:pStyle w:val="FootnoteText"/>
      </w:pPr>
      <w:r>
        <w:rPr>
          <w:rStyle w:val="FootnoteReference"/>
        </w:rPr>
        <w:footnoteRef/>
      </w:r>
      <w:r>
        <w:t xml:space="preserve"> </w:t>
      </w:r>
      <w:r>
        <w:tab/>
        <w:t>16 TAC § 25.245(c).</w:t>
      </w:r>
    </w:p>
  </w:footnote>
  <w:footnote w:id="12">
    <w:p w:rsidR="00DD5FC8" w:rsidRDefault="00A80091">
      <w:pPr>
        <w:pStyle w:val="LGPUCFootnote"/>
      </w:pPr>
      <w:r>
        <w:rPr>
          <w:rStyle w:val="FootnoteReference"/>
        </w:rPr>
        <w:footnoteRef/>
      </w:r>
      <w:r>
        <w:t xml:space="preserve"> </w:t>
      </w:r>
      <w:r>
        <w:tab/>
      </w:r>
      <w:r>
        <w:rPr>
          <w:rFonts w:cs="Arial"/>
          <w:i/>
        </w:rPr>
        <w:t>Appeal filed by North Austin MUD No. 1, Northtown MUD, Travis County WCID No. 10 and Wells Branch MUD (“Petitioners”), from the Ratemaking Actions of the City of Austin, and Request for Interim Rates in Williamson and Travis Counties</w:t>
      </w:r>
      <w:r>
        <w:rPr>
          <w:rFonts w:cs="Arial"/>
        </w:rPr>
        <w:t>, TCEQ Docket No. 2013-0865-UCR, Application No. 37584-M (April</w:t>
      </w:r>
      <w:r w:rsidR="0023092B">
        <w:rPr>
          <w:rFonts w:cs="Arial"/>
        </w:rPr>
        <w:t> </w:t>
      </w:r>
      <w:r>
        <w:rPr>
          <w:rFonts w:cs="Arial"/>
        </w:rPr>
        <w:t xml:space="preserve">16, 2013). </w:t>
      </w:r>
    </w:p>
  </w:footnote>
  <w:footnote w:id="13">
    <w:p w:rsidR="00DD5FC8" w:rsidRDefault="00A80091">
      <w:pPr>
        <w:pStyle w:val="LGPUCFootnote"/>
      </w:pPr>
      <w:r>
        <w:rPr>
          <w:rStyle w:val="FootnoteReference"/>
        </w:rPr>
        <w:footnoteRef/>
      </w:r>
      <w:r>
        <w:t xml:space="preserve"> </w:t>
      </w:r>
      <w:r>
        <w:tab/>
      </w:r>
      <w:r>
        <w:rPr>
          <w:rFonts w:cs="Arial"/>
        </w:rPr>
        <w:t>Docket No. 42857, Order on Rehearing at 29.</w:t>
      </w:r>
    </w:p>
  </w:footnote>
  <w:footnote w:id="14">
    <w:p w:rsidR="00DD5FC8" w:rsidRDefault="00A80091">
      <w:pPr>
        <w:pStyle w:val="LGPUCFootnote"/>
      </w:pPr>
      <w:r>
        <w:rPr>
          <w:rStyle w:val="FootnoteReference"/>
        </w:rPr>
        <w:footnoteRef/>
      </w:r>
      <w:r>
        <w:t xml:space="preserve"> </w:t>
      </w:r>
      <w:r>
        <w:tab/>
        <w:t>The Texas Legislature changed the jurisdiction over water and sewer rate appeals under the TWC from the Commission to the Texas Water Commission in 1985 and then reversed that decision in 2013.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005C6"/>
    <w:multiLevelType w:val="hybridMultilevel"/>
    <w:tmpl w:val="47C4B958"/>
    <w:name w:val="Utility Testimony2"/>
    <w:lvl w:ilvl="0" w:tplc="CFA81370">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D4165E"/>
    <w:multiLevelType w:val="hybridMultilevel"/>
    <w:tmpl w:val="B808964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2AC3332E"/>
    <w:multiLevelType w:val="multilevel"/>
    <w:tmpl w:val="833E80DA"/>
    <w:styleLink w:val="TNRHeadings"/>
    <w:lvl w:ilvl="0">
      <w:start w:val="1"/>
      <w:numFmt w:val="upperRoman"/>
      <w:pStyle w:val="TNRHeading1"/>
      <w:lvlText w:val="%1."/>
      <w:lvlJc w:val="left"/>
      <w:pPr>
        <w:ind w:left="720" w:hanging="720"/>
      </w:pPr>
      <w:rPr>
        <w:rFonts w:ascii="Times New Roman Bold" w:hAnsi="Times New Roman Bold" w:hint="default"/>
        <w:b/>
        <w:i w:val="0"/>
        <w:sz w:val="24"/>
      </w:rPr>
    </w:lvl>
    <w:lvl w:ilvl="1">
      <w:start w:val="1"/>
      <w:numFmt w:val="upperLetter"/>
      <w:lvlText w:val="%2."/>
      <w:lvlJc w:val="left"/>
      <w:pPr>
        <w:ind w:left="720" w:hanging="720"/>
      </w:pPr>
      <w:rPr>
        <w:rFonts w:ascii="Times New Roman Bold" w:hAnsi="Times New Roman Bold" w:hint="default"/>
        <w:b/>
        <w:i w:val="0"/>
        <w:sz w:val="24"/>
      </w:rPr>
    </w:lvl>
    <w:lvl w:ilvl="2">
      <w:start w:val="1"/>
      <w:numFmt w:val="decimal"/>
      <w:pStyle w:val="TNRHeading3"/>
      <w:lvlText w:val="%3."/>
      <w:lvlJc w:val="left"/>
      <w:pPr>
        <w:ind w:left="720" w:hanging="720"/>
      </w:pPr>
      <w:rPr>
        <w:rFonts w:ascii="Times New Roman Bold" w:hAnsi="Times New Roman Bold" w:hint="default"/>
        <w:b/>
        <w:i w:val="0"/>
        <w:sz w:val="24"/>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4" w15:restartNumberingAfterBreak="0">
    <w:nsid w:val="45812067"/>
    <w:multiLevelType w:val="multilevel"/>
    <w:tmpl w:val="81F2B844"/>
    <w:name w:val="Utility Testimony"/>
    <w:lvl w:ilvl="0">
      <w:start w:val="1"/>
      <w:numFmt w:val="upperRoman"/>
      <w:pStyle w:val="Heading1"/>
      <w:lvlText w:val="%1."/>
      <w:lvlJc w:val="left"/>
      <w:pPr>
        <w:tabs>
          <w:tab w:val="num" w:pos="0"/>
        </w:tabs>
        <w:ind w:left="0" w:firstLine="0"/>
      </w:pPr>
      <w:rPr>
        <w:rFonts w:hint="default"/>
        <w:b/>
        <w:bCs/>
        <w:caps/>
        <w:smallCaps w:val="0"/>
        <w:vanish w:val="0"/>
        <w:color w:val="010000"/>
        <w:u w:val="none"/>
      </w:rPr>
    </w:lvl>
    <w:lvl w:ilvl="1">
      <w:start w:val="1"/>
      <w:numFmt w:val="upperLetter"/>
      <w:pStyle w:val="Heading2"/>
      <w:lvlText w:val="%2."/>
      <w:lvlJc w:val="left"/>
      <w:pPr>
        <w:tabs>
          <w:tab w:val="num" w:pos="1440"/>
        </w:tabs>
        <w:ind w:left="1440" w:hanging="720"/>
      </w:pPr>
      <w:rPr>
        <w:rFonts w:hint="default"/>
        <w:b/>
        <w:bCs/>
        <w:vanish w:val="0"/>
        <w:color w:val="010000"/>
        <w:u w:val="none"/>
      </w:rPr>
    </w:lvl>
    <w:lvl w:ilvl="2">
      <w:start w:val="1"/>
      <w:numFmt w:val="decimal"/>
      <w:pStyle w:val="Heading3"/>
      <w:lvlText w:val="%3."/>
      <w:lvlJc w:val="left"/>
      <w:pPr>
        <w:tabs>
          <w:tab w:val="num" w:pos="1440"/>
        </w:tabs>
        <w:ind w:left="720" w:firstLine="0"/>
      </w:pPr>
      <w:rPr>
        <w:rFonts w:hint="default"/>
        <w:vanish w:val="0"/>
        <w:color w:val="010000"/>
        <w:u w:val="none"/>
      </w:rPr>
    </w:lvl>
    <w:lvl w:ilvl="3">
      <w:start w:val="1"/>
      <w:numFmt w:val="decimal"/>
      <w:pStyle w:val="Heading4"/>
      <w:lvlText w:val="(%4)"/>
      <w:lvlJc w:val="left"/>
      <w:pPr>
        <w:tabs>
          <w:tab w:val="num" w:pos="2880"/>
        </w:tabs>
        <w:ind w:left="1440" w:firstLine="720"/>
      </w:pPr>
      <w:rPr>
        <w:rFonts w:hint="default"/>
        <w:vanish w:val="0"/>
        <w:color w:val="010000"/>
        <w:u w:val="none"/>
      </w:rPr>
    </w:lvl>
    <w:lvl w:ilvl="4">
      <w:start w:val="1"/>
      <w:numFmt w:val="lowerRoman"/>
      <w:pStyle w:val="Heading5"/>
      <w:lvlText w:val="(%5)"/>
      <w:lvlJc w:val="left"/>
      <w:pPr>
        <w:tabs>
          <w:tab w:val="num" w:pos="3600"/>
        </w:tabs>
        <w:ind w:left="2160" w:firstLine="720"/>
      </w:pPr>
      <w:rPr>
        <w:rFonts w:hint="default"/>
        <w:vanish w:val="0"/>
        <w:color w:val="010000"/>
        <w:u w:val="none"/>
      </w:rPr>
    </w:lvl>
    <w:lvl w:ilvl="5">
      <w:start w:val="1"/>
      <w:numFmt w:val="lowerLetter"/>
      <w:pStyle w:val="Heading6"/>
      <w:lvlText w:val="%6."/>
      <w:lvlJc w:val="left"/>
      <w:pPr>
        <w:tabs>
          <w:tab w:val="num" w:pos="4320"/>
        </w:tabs>
        <w:ind w:left="2880" w:firstLine="720"/>
      </w:pPr>
      <w:rPr>
        <w:rFonts w:hint="default"/>
        <w:vanish w:val="0"/>
        <w:color w:val="010000"/>
        <w:u w:val="none"/>
      </w:rPr>
    </w:lvl>
    <w:lvl w:ilvl="6">
      <w:start w:val="1"/>
      <w:numFmt w:val="decimal"/>
      <w:pStyle w:val="Heading7"/>
      <w:lvlText w:val="%7."/>
      <w:lvlJc w:val="left"/>
      <w:pPr>
        <w:tabs>
          <w:tab w:val="num" w:pos="5040"/>
        </w:tabs>
        <w:ind w:left="3600" w:firstLine="720"/>
      </w:pPr>
      <w:rPr>
        <w:rFonts w:hint="default"/>
        <w:vanish w:val="0"/>
        <w:color w:val="010000"/>
        <w:u w:val="none"/>
      </w:rPr>
    </w:lvl>
    <w:lvl w:ilvl="7">
      <w:start w:val="1"/>
      <w:numFmt w:val="lowerRoman"/>
      <w:pStyle w:val="Heading8"/>
      <w:lvlText w:val="%8."/>
      <w:lvlJc w:val="left"/>
      <w:pPr>
        <w:tabs>
          <w:tab w:val="num" w:pos="5760"/>
        </w:tabs>
        <w:ind w:left="4320" w:firstLine="720"/>
      </w:pPr>
      <w:rPr>
        <w:rFonts w:hint="default"/>
        <w:vanish w:val="0"/>
        <w:color w:val="010000"/>
        <w:u w:val="none"/>
      </w:rPr>
    </w:lvl>
    <w:lvl w:ilvl="8">
      <w:start w:val="1"/>
      <w:numFmt w:val="decimal"/>
      <w:pStyle w:val="Heading9"/>
      <w:lvlText w:val="(%9)"/>
      <w:lvlJc w:val="left"/>
      <w:pPr>
        <w:tabs>
          <w:tab w:val="num" w:pos="6480"/>
        </w:tabs>
        <w:ind w:left="5040" w:firstLine="720"/>
      </w:pPr>
      <w:rPr>
        <w:rFonts w:hint="default"/>
        <w:vanish w:val="0"/>
        <w:color w:val="010000"/>
        <w:u w:val="none"/>
      </w:rPr>
    </w:lvl>
  </w:abstractNum>
  <w:abstractNum w:abstractNumId="5" w15:restartNumberingAfterBreak="0">
    <w:nsid w:val="66A05525"/>
    <w:multiLevelType w:val="multilevel"/>
    <w:tmpl w:val="3774A9C0"/>
    <w:lvl w:ilvl="0">
      <w:start w:val="1"/>
      <w:numFmt w:val="decimal"/>
      <w:pStyle w:val="LGListNumber"/>
      <w:lvlText w:val="%1."/>
      <w:lvlJc w:val="left"/>
      <w:pPr>
        <w:tabs>
          <w:tab w:val="num" w:pos="720"/>
        </w:tabs>
        <w:ind w:left="144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4"/>
  </w:num>
  <w:num w:numId="2">
    <w:abstractNumId w:val="5"/>
  </w:num>
  <w:num w:numId="3">
    <w:abstractNumId w:val="2"/>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ddLineBreakFollowingCenteredHeading 1" w:val="False"/>
    <w:docVar w:name="AddLineBreakFollowingCenteredHeadings" w:val="False"/>
    <w:docVar w:name="CenterLevel1TOC" w:val="False"/>
    <w:docVar w:name="DefaultNumberOfLevelsInTOCForThisScheme" w:val="3"/>
    <w:docVar w:name="ExcludeDirectFormattingInTOC" w:val="False"/>
    <w:docVar w:name="HyperlinkTOC" w:val="True"/>
    <w:docVar w:name="IncludeTOCAndPageHeadings" w:val="False"/>
    <w:docVar w:name="LastSchemeChoice" w:val="Utility Testimony"/>
    <w:docVar w:name="LastSchemeUniqueID" w:val="2"/>
    <w:docVar w:name="LegacyDocIDRemoved" w:val="True"/>
    <w:docVar w:name="NoNumberLevel1TOC" w:val="False"/>
    <w:docVar w:name="Option0True" w:val="False"/>
    <w:docVar w:name="Option1True" w:val="False"/>
    <w:docVar w:name="Option2True" w:val="False"/>
    <w:docVar w:name="Option3True" w:val="False"/>
    <w:docVar w:name="TOCFormatConst" w:val="0"/>
    <w:docVar w:name="TOCFormatPreference" w:val="Leave TOC styles 'as is' in current document (default)"/>
    <w:docVar w:name="TOCHeadingAllCaps" w:val="False"/>
    <w:docVar w:name="TOCHeadingUnderlined" w:val="True"/>
    <w:docVar w:name="TOCIncludeNonHeadings" w:val="False"/>
    <w:docVar w:name="TOCIncludeSectionBreaks" w:val="False"/>
    <w:docVar w:name="TOCIncludeTCFields" w:val="False"/>
    <w:docVar w:name="TOCPageUnderlined" w:val="False"/>
    <w:docVar w:name="TOCPosition" w:val="Replace existing TOC"/>
    <w:docVar w:name="TOCRun" w:val="True"/>
    <w:docVar w:name="TOCSpecialLevels" w:val="False"/>
    <w:docVar w:name="UnderlineTOCLevel1" w:val="False"/>
    <w:docVar w:name="UpperLevelTOC" w:val="4"/>
  </w:docVars>
  <w:rsids>
    <w:rsidRoot w:val="00DD5FC8"/>
    <w:rsid w:val="000554CC"/>
    <w:rsid w:val="000E1318"/>
    <w:rsid w:val="000E29F6"/>
    <w:rsid w:val="0023092B"/>
    <w:rsid w:val="002325AF"/>
    <w:rsid w:val="002D34A6"/>
    <w:rsid w:val="00390542"/>
    <w:rsid w:val="004E4C26"/>
    <w:rsid w:val="005C19E5"/>
    <w:rsid w:val="006D344C"/>
    <w:rsid w:val="008223C0"/>
    <w:rsid w:val="00892C8A"/>
    <w:rsid w:val="00952704"/>
    <w:rsid w:val="00A80091"/>
    <w:rsid w:val="00D45D6E"/>
    <w:rsid w:val="00DC22D7"/>
    <w:rsid w:val="00DD5FC8"/>
    <w:rsid w:val="00E00CC3"/>
    <w:rsid w:val="00E224C7"/>
    <w:rsid w:val="00F203B6"/>
    <w:rsid w:val="00FB64B9"/>
    <w:rsid w:val="00FF2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5D0E250"/>
  <w15:docId w15:val="{5E6F66B9-FA03-499A-868A-67D77D30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semiHidden="1" w:unhideWhenUsed="1"/>
    <w:lsdException w:name="annotation text" w:locked="1" w:semiHidden="1" w:unhideWhenUsed="1"/>
    <w:lsdException w:name="header" w:semiHidden="1" w:uiPriority="0" w:unhideWhenUsed="1"/>
    <w:lsdException w:name="footer" w:semiHidden="1" w:uiPriority="0" w:unhideWhenUsed="1"/>
    <w:lsdException w:name="index heading" w:locked="1" w:semiHidden="1" w:unhideWhenUsed="1"/>
    <w:lsdException w:name="caption" w:locked="1" w:semiHidden="1" w:uiPriority="35" w:unhideWhenUsed="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locked="1" w:semiHidden="1" w:unhideWhenUsed="1"/>
    <w:lsdException w:name="line number" w:semiHidden="1" w:uiPriority="0" w:unhideWhenUsed="1"/>
    <w:lsdException w:name="page number"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iPriority="0" w:unhideWhenUsed="1"/>
    <w:lsdException w:name="List Number" w:uiPriority="0"/>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uiPriority="0"/>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semiHidden="1" w:uiPriority="0" w:unhideWhenUsed="1"/>
    <w:lsdException w:name="Hyperlink"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sz w:val="24"/>
      <w:szCs w:val="24"/>
    </w:rPr>
  </w:style>
  <w:style w:type="paragraph" w:styleId="Heading1">
    <w:name w:val="heading 1"/>
    <w:basedOn w:val="Normal"/>
    <w:next w:val="Normal"/>
    <w:link w:val="Heading1Char"/>
    <w:qFormat/>
    <w:pPr>
      <w:keepNext/>
      <w:keepLines/>
      <w:numPr>
        <w:numId w:val="1"/>
      </w:numPr>
      <w:spacing w:before="240" w:after="240" w:line="280" w:lineRule="exact"/>
      <w:jc w:val="center"/>
      <w:outlineLvl w:val="0"/>
    </w:pPr>
    <w:rPr>
      <w:rFonts w:ascii="Times New Roman Bold" w:eastAsia="Times New Roman" w:hAnsi="Times New Roman Bold"/>
      <w:b/>
      <w:bCs/>
      <w:caps/>
      <w:color w:val="auto"/>
      <w:u w:val="single"/>
    </w:rPr>
  </w:style>
  <w:style w:type="paragraph" w:styleId="Heading2">
    <w:name w:val="heading 2"/>
    <w:basedOn w:val="Normal"/>
    <w:next w:val="Normal"/>
    <w:link w:val="Heading2Char"/>
    <w:qFormat/>
    <w:pPr>
      <w:keepNext/>
      <w:keepLines/>
      <w:numPr>
        <w:ilvl w:val="1"/>
        <w:numId w:val="1"/>
      </w:numPr>
      <w:spacing w:before="360" w:after="240" w:line="280" w:lineRule="exact"/>
      <w:outlineLvl w:val="1"/>
    </w:pPr>
    <w:rPr>
      <w:rFonts w:eastAsia="Times New Roman"/>
      <w:b/>
      <w:bCs/>
      <w:iCs/>
      <w:color w:val="auto"/>
      <w:szCs w:val="28"/>
      <w:u w:val="single"/>
    </w:rPr>
  </w:style>
  <w:style w:type="paragraph" w:styleId="Heading3">
    <w:name w:val="heading 3"/>
    <w:basedOn w:val="Normal"/>
    <w:next w:val="Normal"/>
    <w:link w:val="Heading3Char"/>
    <w:qFormat/>
    <w:pPr>
      <w:numPr>
        <w:ilvl w:val="2"/>
        <w:numId w:val="1"/>
      </w:numPr>
      <w:spacing w:after="240"/>
      <w:outlineLvl w:val="2"/>
    </w:pPr>
    <w:rPr>
      <w:rFonts w:eastAsia="Times New Roman"/>
      <w:bCs/>
      <w:color w:val="auto"/>
      <w:szCs w:val="26"/>
    </w:rPr>
  </w:style>
  <w:style w:type="paragraph" w:styleId="Heading4">
    <w:name w:val="heading 4"/>
    <w:basedOn w:val="Normal"/>
    <w:next w:val="Normal"/>
    <w:link w:val="Heading4Char"/>
    <w:qFormat/>
    <w:pPr>
      <w:numPr>
        <w:ilvl w:val="3"/>
        <w:numId w:val="1"/>
      </w:numPr>
      <w:spacing w:after="240"/>
      <w:outlineLvl w:val="3"/>
    </w:pPr>
    <w:rPr>
      <w:rFonts w:eastAsia="Times New Roman"/>
      <w:bCs/>
      <w:color w:val="auto"/>
      <w:szCs w:val="28"/>
    </w:rPr>
  </w:style>
  <w:style w:type="paragraph" w:styleId="Heading5">
    <w:name w:val="heading 5"/>
    <w:basedOn w:val="Normal"/>
    <w:next w:val="Normal"/>
    <w:link w:val="Heading5Char"/>
    <w:qFormat/>
    <w:pPr>
      <w:numPr>
        <w:ilvl w:val="4"/>
        <w:numId w:val="1"/>
      </w:numPr>
      <w:spacing w:after="240"/>
      <w:outlineLvl w:val="4"/>
    </w:pPr>
    <w:rPr>
      <w:rFonts w:eastAsia="Times New Roman"/>
      <w:bCs/>
      <w:iCs/>
      <w:color w:val="auto"/>
      <w:szCs w:val="26"/>
    </w:rPr>
  </w:style>
  <w:style w:type="paragraph" w:styleId="Heading6">
    <w:name w:val="heading 6"/>
    <w:basedOn w:val="Normal"/>
    <w:next w:val="Normal"/>
    <w:link w:val="Heading6Char"/>
    <w:qFormat/>
    <w:pPr>
      <w:numPr>
        <w:ilvl w:val="5"/>
        <w:numId w:val="1"/>
      </w:numPr>
      <w:spacing w:after="240"/>
      <w:outlineLvl w:val="5"/>
    </w:pPr>
    <w:rPr>
      <w:rFonts w:eastAsia="Times New Roman"/>
      <w:bCs/>
      <w:color w:val="auto"/>
      <w:szCs w:val="22"/>
    </w:rPr>
  </w:style>
  <w:style w:type="paragraph" w:styleId="Heading7">
    <w:name w:val="heading 7"/>
    <w:basedOn w:val="Normal"/>
    <w:next w:val="Normal"/>
    <w:link w:val="Heading7Char"/>
    <w:qFormat/>
    <w:pPr>
      <w:numPr>
        <w:ilvl w:val="6"/>
        <w:numId w:val="1"/>
      </w:numPr>
      <w:spacing w:after="240"/>
      <w:outlineLvl w:val="6"/>
    </w:pPr>
    <w:rPr>
      <w:rFonts w:eastAsia="Times New Roman"/>
      <w:color w:val="auto"/>
    </w:rPr>
  </w:style>
  <w:style w:type="paragraph" w:styleId="Heading8">
    <w:name w:val="heading 8"/>
    <w:basedOn w:val="Normal"/>
    <w:next w:val="Normal"/>
    <w:link w:val="Heading8Char"/>
    <w:qFormat/>
    <w:pPr>
      <w:numPr>
        <w:ilvl w:val="7"/>
        <w:numId w:val="1"/>
      </w:numPr>
      <w:spacing w:after="240"/>
      <w:outlineLvl w:val="7"/>
    </w:pPr>
    <w:rPr>
      <w:rFonts w:eastAsia="Times New Roman"/>
      <w:iCs/>
      <w:color w:val="auto"/>
    </w:rPr>
  </w:style>
  <w:style w:type="paragraph" w:styleId="Heading9">
    <w:name w:val="heading 9"/>
    <w:basedOn w:val="Normal"/>
    <w:next w:val="Normal"/>
    <w:link w:val="Heading9Char"/>
    <w:qFormat/>
    <w:pPr>
      <w:numPr>
        <w:ilvl w:val="8"/>
        <w:numId w:val="1"/>
      </w:numPr>
      <w:spacing w:after="240"/>
      <w:outlineLvl w:val="8"/>
    </w:pPr>
    <w:rPr>
      <w:rFonts w:eastAsia="Times New Roman"/>
      <w:color w:val="auto"/>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Times New Roman Bold" w:eastAsia="Times New Roman" w:hAnsi="Times New Roman Bold"/>
      <w:b/>
      <w:bCs/>
      <w:caps/>
      <w:sz w:val="24"/>
      <w:szCs w:val="24"/>
      <w:u w:val="single"/>
    </w:rPr>
  </w:style>
  <w:style w:type="character" w:customStyle="1" w:styleId="Heading2Char">
    <w:name w:val="Heading 2 Char"/>
    <w:link w:val="Heading2"/>
    <w:locked/>
    <w:rPr>
      <w:rFonts w:eastAsia="Times New Roman"/>
      <w:b/>
      <w:bCs/>
      <w:iCs/>
      <w:sz w:val="24"/>
      <w:szCs w:val="28"/>
      <w:u w:val="single"/>
    </w:rPr>
  </w:style>
  <w:style w:type="character" w:customStyle="1" w:styleId="Heading3Char">
    <w:name w:val="Heading 3 Char"/>
    <w:link w:val="Heading3"/>
    <w:locked/>
    <w:rPr>
      <w:rFonts w:eastAsia="Times New Roman"/>
      <w:bCs/>
      <w:sz w:val="24"/>
      <w:szCs w:val="26"/>
    </w:rPr>
  </w:style>
  <w:style w:type="character" w:customStyle="1" w:styleId="Heading4Char">
    <w:name w:val="Heading 4 Char"/>
    <w:link w:val="Heading4"/>
    <w:locked/>
    <w:rPr>
      <w:rFonts w:eastAsia="Times New Roman"/>
      <w:bCs/>
      <w:sz w:val="24"/>
      <w:szCs w:val="28"/>
    </w:rPr>
  </w:style>
  <w:style w:type="character" w:customStyle="1" w:styleId="Heading5Char">
    <w:name w:val="Heading 5 Char"/>
    <w:link w:val="Heading5"/>
    <w:locked/>
    <w:rPr>
      <w:rFonts w:eastAsia="Times New Roman"/>
      <w:bCs/>
      <w:iCs/>
      <w:sz w:val="24"/>
      <w:szCs w:val="26"/>
    </w:rPr>
  </w:style>
  <w:style w:type="character" w:customStyle="1" w:styleId="Heading6Char">
    <w:name w:val="Heading 6 Char"/>
    <w:link w:val="Heading6"/>
    <w:locked/>
    <w:rPr>
      <w:rFonts w:eastAsia="Times New Roman"/>
      <w:bCs/>
      <w:sz w:val="24"/>
      <w:szCs w:val="22"/>
    </w:rPr>
  </w:style>
  <w:style w:type="character" w:customStyle="1" w:styleId="Heading7Char">
    <w:name w:val="Heading 7 Char"/>
    <w:link w:val="Heading7"/>
    <w:locked/>
    <w:rPr>
      <w:rFonts w:eastAsia="Times New Roman"/>
      <w:sz w:val="24"/>
      <w:szCs w:val="24"/>
    </w:rPr>
  </w:style>
  <w:style w:type="character" w:customStyle="1" w:styleId="Heading8Char">
    <w:name w:val="Heading 8 Char"/>
    <w:link w:val="Heading8"/>
    <w:locked/>
    <w:rPr>
      <w:rFonts w:eastAsia="Times New Roman"/>
      <w:iCs/>
      <w:sz w:val="24"/>
      <w:szCs w:val="24"/>
    </w:rPr>
  </w:style>
  <w:style w:type="character" w:customStyle="1" w:styleId="Heading9Char">
    <w:name w:val="Heading 9 Char"/>
    <w:link w:val="Heading9"/>
    <w:locked/>
    <w:rPr>
      <w:rFonts w:eastAsia="Times New Roman"/>
      <w:sz w:val="24"/>
      <w:szCs w:val="22"/>
    </w:rPr>
  </w:style>
  <w:style w:type="paragraph" w:customStyle="1" w:styleId="LGAnswer">
    <w:name w:val="LG Answer"/>
    <w:basedOn w:val="Normal"/>
    <w:next w:val="Normal"/>
    <w:qFormat/>
    <w:pPr>
      <w:spacing w:after="240" w:line="480" w:lineRule="auto"/>
    </w:pPr>
    <w:rPr>
      <w:rFonts w:eastAsia="Times New Roman"/>
    </w:rPr>
  </w:style>
  <w:style w:type="paragraph" w:customStyle="1" w:styleId="LGBlockText">
    <w:name w:val="LG BlockText"/>
    <w:basedOn w:val="BlockText"/>
    <w:next w:val="Normal"/>
    <w:qFormat/>
    <w:pPr>
      <w:pBdr>
        <w:top w:val="none" w:sz="0" w:space="0" w:color="auto"/>
        <w:left w:val="none" w:sz="0" w:space="0" w:color="auto"/>
        <w:bottom w:val="none" w:sz="0" w:space="0" w:color="auto"/>
        <w:right w:val="none" w:sz="0" w:space="0" w:color="auto"/>
      </w:pBdr>
      <w:spacing w:before="120" w:after="240"/>
      <w:ind w:left="1440" w:right="1440"/>
      <w:jc w:val="both"/>
    </w:pPr>
    <w:rPr>
      <w:rFonts w:ascii="Times New Roman" w:hAnsi="Times New Roman" w:cs="Times New Roman"/>
      <w:i w:val="0"/>
      <w:iCs w:val="0"/>
      <w:color w:val="000000"/>
      <w:szCs w:val="20"/>
    </w:rPr>
  </w:style>
  <w:style w:type="paragraph" w:styleId="BlockText">
    <w:name w:val="Block Text"/>
    <w:basedOn w:val="Normal"/>
    <w:uiPriority w:val="99"/>
    <w:semiHidden/>
    <w:pPr>
      <w:pBdr>
        <w:top w:val="single" w:sz="2" w:space="10" w:color="4F81BD" w:shadow="1" w:frame="1"/>
        <w:left w:val="single" w:sz="2" w:space="10" w:color="4F81BD" w:shadow="1" w:frame="1"/>
        <w:bottom w:val="single" w:sz="2" w:space="10" w:color="4F81BD" w:shadow="1" w:frame="1"/>
        <w:right w:val="single" w:sz="2" w:space="10" w:color="4F81BD" w:shadow="1" w:frame="1"/>
      </w:pBdr>
      <w:ind w:left="1152" w:right="1152"/>
    </w:pPr>
    <w:rPr>
      <w:rFonts w:ascii="Calibri" w:eastAsia="Times New Roman" w:hAnsi="Calibri" w:cs="Calibri"/>
      <w:i/>
      <w:iCs/>
      <w:color w:val="4F81BD"/>
    </w:rPr>
  </w:style>
  <w:style w:type="paragraph" w:customStyle="1" w:styleId="LGBodyTextDD">
    <w:name w:val="LG BodyTextDD"/>
    <w:basedOn w:val="BodyText"/>
    <w:qFormat/>
    <w:pPr>
      <w:tabs>
        <w:tab w:val="left" w:pos="720"/>
      </w:tabs>
      <w:spacing w:after="0" w:line="480" w:lineRule="auto"/>
      <w:ind w:firstLine="720"/>
      <w:jc w:val="both"/>
    </w:pPr>
    <w:rPr>
      <w:rFonts w:eastAsia="Times New Roman" w:cs="Calibri"/>
      <w:szCs w:val="20"/>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locked/>
  </w:style>
  <w:style w:type="paragraph" w:customStyle="1" w:styleId="LGBodyTextSS">
    <w:name w:val="LG BodyTextSS"/>
    <w:basedOn w:val="BodyText"/>
    <w:qFormat/>
    <w:pPr>
      <w:tabs>
        <w:tab w:val="left" w:pos="720"/>
      </w:tabs>
      <w:spacing w:after="240"/>
      <w:ind w:firstLine="720"/>
      <w:jc w:val="both"/>
    </w:pPr>
    <w:rPr>
      <w:rFonts w:eastAsia="Times New Roman"/>
      <w:szCs w:val="20"/>
    </w:rPr>
  </w:style>
  <w:style w:type="paragraph" w:customStyle="1" w:styleId="LGCaption">
    <w:name w:val="LG Caption"/>
    <w:basedOn w:val="Caption"/>
    <w:next w:val="BodyText"/>
    <w:link w:val="LGCaptionChar"/>
    <w:qFormat/>
    <w:pPr>
      <w:spacing w:after="240"/>
      <w:jc w:val="center"/>
    </w:pPr>
    <w:rPr>
      <w:rFonts w:ascii="Times New Roman Bold" w:eastAsia="Times New Roman" w:hAnsi="Times New Roman Bold" w:cs="Times New Roman Bold"/>
      <w:b w:val="0"/>
      <w:bCs w:val="0"/>
      <w:caps/>
      <w:color w:val="000000"/>
      <w:sz w:val="24"/>
      <w:szCs w:val="20"/>
    </w:rPr>
  </w:style>
  <w:style w:type="paragraph" w:styleId="Caption">
    <w:name w:val="caption"/>
    <w:basedOn w:val="Normal"/>
    <w:next w:val="Normal"/>
    <w:uiPriority w:val="99"/>
    <w:pPr>
      <w:spacing w:after="200"/>
    </w:pPr>
    <w:rPr>
      <w:b/>
      <w:bCs/>
      <w:color w:val="4F81BD"/>
      <w:sz w:val="18"/>
      <w:szCs w:val="18"/>
    </w:rPr>
  </w:style>
  <w:style w:type="paragraph" w:customStyle="1" w:styleId="LGFooter">
    <w:name w:val="LG Footer"/>
    <w:basedOn w:val="Footer"/>
    <w:next w:val="LGBodyTextSS"/>
    <w:qFormat/>
    <w:pPr>
      <w:tabs>
        <w:tab w:val="clear" w:pos="4680"/>
        <w:tab w:val="clear" w:pos="9360"/>
        <w:tab w:val="center" w:pos="4320"/>
        <w:tab w:val="right" w:pos="8640"/>
      </w:tabs>
      <w:spacing w:before="120"/>
      <w:jc w:val="both"/>
    </w:pPr>
    <w:rPr>
      <w:rFonts w:eastAsia="Times New Roman"/>
      <w:sz w:val="20"/>
      <w:szCs w:val="20"/>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basedOn w:val="DefaultParagraphFont"/>
    <w:link w:val="Footer"/>
    <w:uiPriority w:val="99"/>
    <w:semiHidden/>
    <w:locked/>
  </w:style>
  <w:style w:type="paragraph" w:customStyle="1" w:styleId="LGHeader">
    <w:name w:val="LG Header"/>
    <w:basedOn w:val="Header"/>
    <w:next w:val="LGBodyTextSS"/>
    <w:qFormat/>
    <w:pPr>
      <w:tabs>
        <w:tab w:val="clear" w:pos="4680"/>
        <w:tab w:val="clear" w:pos="9360"/>
        <w:tab w:val="center" w:pos="4320"/>
        <w:tab w:val="right" w:pos="8640"/>
      </w:tabs>
      <w:jc w:val="both"/>
    </w:pPr>
    <w:rPr>
      <w:rFonts w:eastAsia="Times New Roman"/>
      <w:szCs w:val="20"/>
    </w:rPr>
  </w:style>
  <w:style w:type="paragraph" w:styleId="Header">
    <w:name w:val="header"/>
    <w:basedOn w:val="Normal"/>
    <w:link w:val="HeaderChar"/>
    <w:uiPriority w:val="99"/>
    <w:semiHidden/>
    <w:pPr>
      <w:tabs>
        <w:tab w:val="center" w:pos="4680"/>
        <w:tab w:val="right" w:pos="9360"/>
      </w:tabs>
    </w:pPr>
  </w:style>
  <w:style w:type="character" w:customStyle="1" w:styleId="HeaderChar">
    <w:name w:val="Header Char"/>
    <w:basedOn w:val="DefaultParagraphFont"/>
    <w:link w:val="Header"/>
    <w:uiPriority w:val="99"/>
    <w:semiHidden/>
    <w:locked/>
  </w:style>
  <w:style w:type="paragraph" w:customStyle="1" w:styleId="LGIndentDD">
    <w:name w:val="LG Indent DD"/>
    <w:basedOn w:val="BodyTextFirstIndent"/>
    <w:next w:val="Normal"/>
    <w:qFormat/>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pPr>
      <w:spacing w:after="0"/>
      <w:ind w:firstLine="360"/>
    </w:pPr>
  </w:style>
  <w:style w:type="character" w:customStyle="1" w:styleId="BodyTextFirstIndentChar">
    <w:name w:val="Body Text First Indent Char"/>
    <w:basedOn w:val="BodyTextChar"/>
    <w:link w:val="BodyTextFirstIndent"/>
    <w:uiPriority w:val="99"/>
    <w:semiHidden/>
    <w:locked/>
  </w:style>
  <w:style w:type="paragraph" w:customStyle="1" w:styleId="LGIndentSS">
    <w:name w:val="LG Indent SS"/>
    <w:basedOn w:val="BodyTextFirstIndent"/>
    <w:next w:val="Normal"/>
    <w:qFormat/>
    <w:pPr>
      <w:tabs>
        <w:tab w:val="left" w:pos="720"/>
      </w:tabs>
      <w:spacing w:line="480" w:lineRule="auto"/>
      <w:ind w:left="720" w:firstLine="720"/>
      <w:jc w:val="both"/>
    </w:pPr>
    <w:rPr>
      <w:rFonts w:eastAsia="Times New Roman"/>
      <w:szCs w:val="20"/>
    </w:rPr>
  </w:style>
  <w:style w:type="paragraph" w:styleId="ListBullet">
    <w:name w:val="List Bullet"/>
    <w:basedOn w:val="Normal"/>
    <w:link w:val="ListBulletChar"/>
    <w:autoRedefine/>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Bullet">
    <w:name w:val="LG List Bullet"/>
    <w:basedOn w:val="ListBullet"/>
    <w:qFormat/>
    <w:rsid w:val="00DC22D7"/>
    <w:pPr>
      <w:numPr>
        <w:numId w:val="3"/>
      </w:numPr>
      <w:spacing w:after="0" w:line="440" w:lineRule="exact"/>
      <w:ind w:left="1440"/>
    </w:pPr>
    <w:rPr>
      <w:rFonts w:ascii="Times New Roman" w:hAnsi="Times New Roman" w:cs="Times New Roman"/>
      <w:color w:val="000000"/>
      <w:sz w:val="24"/>
      <w:szCs w:val="24"/>
    </w:rPr>
  </w:style>
  <w:style w:type="paragraph" w:customStyle="1" w:styleId="LGListBullet1">
    <w:name w:val="LG List Bullet1"/>
    <w:basedOn w:val="Normal"/>
    <w:qFormat/>
    <w:pPr>
      <w:numPr>
        <w:ilvl w:val="1"/>
        <w:numId w:val="3"/>
      </w:numPr>
    </w:pPr>
    <w:rPr>
      <w:rFonts w:eastAsia="Times New Roman"/>
    </w:rPr>
  </w:style>
  <w:style w:type="paragraph" w:customStyle="1" w:styleId="LGPleading">
    <w:name w:val="LG Pleading"/>
    <w:basedOn w:val="Normal"/>
    <w:next w:val="LGBodyTextDD"/>
    <w:qFormat/>
    <w:pPr>
      <w:tabs>
        <w:tab w:val="left" w:pos="4680"/>
      </w:tabs>
      <w:spacing w:after="360"/>
    </w:pPr>
    <w:rPr>
      <w:rFonts w:ascii="Times New Roman Bold" w:eastAsia="Times New Roman" w:hAnsi="Times New Roman Bold" w:cs="Times New Roman Bold"/>
      <w:caps/>
      <w:szCs w:val="20"/>
    </w:rPr>
  </w:style>
  <w:style w:type="paragraph" w:customStyle="1" w:styleId="LGPleadingsIndex">
    <w:name w:val="LG Pleadings Index"/>
    <w:basedOn w:val="Normal"/>
    <w:qFormat/>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LGPUCFootnote">
    <w:name w:val="LG PUC Footnote"/>
    <w:basedOn w:val="PUCFootnote"/>
    <w:qFormat/>
    <w:pPr>
      <w:spacing w:before="120" w:after="0"/>
    </w:pPr>
  </w:style>
  <w:style w:type="paragraph" w:customStyle="1" w:styleId="LGQuestion">
    <w:name w:val="LG Question"/>
    <w:basedOn w:val="Normal"/>
    <w:next w:val="LGAnswer"/>
    <w:qFormat/>
    <w:pPr>
      <w:spacing w:after="240" w:line="480" w:lineRule="auto"/>
    </w:pPr>
    <w:rPr>
      <w:rFonts w:eastAsia="Times New Roman"/>
      <w:b/>
    </w:rPr>
  </w:style>
  <w:style w:type="paragraph" w:styleId="Signature">
    <w:name w:val="Signature"/>
    <w:basedOn w:val="Normal"/>
    <w:link w:val="SignatureChar"/>
    <w:uiPriority w:val="99"/>
    <w:semiHidden/>
    <w:pPr>
      <w:ind w:left="4320"/>
    </w:pPr>
    <w:rPr>
      <w:rFonts w:ascii="Calibri" w:eastAsia="Times New Roman" w:hAnsi="Calibri" w:cs="Calibri"/>
      <w:color w:val="auto"/>
      <w:sz w:val="22"/>
      <w:szCs w:val="22"/>
    </w:rPr>
  </w:style>
  <w:style w:type="character" w:customStyle="1" w:styleId="SignatureChar">
    <w:name w:val="Signature Char"/>
    <w:link w:val="Signature"/>
    <w:uiPriority w:val="99"/>
    <w:semiHidden/>
    <w:locked/>
    <w:rPr>
      <w:rFonts w:ascii="Calibri" w:hAnsi="Calibri" w:cs="Calibri"/>
      <w:color w:val="auto"/>
      <w:sz w:val="22"/>
      <w:szCs w:val="22"/>
    </w:rPr>
  </w:style>
  <w:style w:type="paragraph" w:customStyle="1" w:styleId="LGSignature">
    <w:name w:val="LG Signature"/>
    <w:basedOn w:val="Signature"/>
    <w:next w:val="LGBodyTextSS"/>
    <w:qFormat/>
    <w:pPr>
      <w:jc w:val="both"/>
    </w:pPr>
    <w:rPr>
      <w:rFonts w:ascii="Times New Roman" w:hAnsi="Times New Roman" w:cs="Times New Roman"/>
      <w:color w:val="000000"/>
      <w:sz w:val="24"/>
      <w:szCs w:val="20"/>
    </w:rPr>
  </w:style>
  <w:style w:type="paragraph" w:customStyle="1" w:styleId="LGSubtitle">
    <w:name w:val="LG Subtitle"/>
    <w:basedOn w:val="Subtitle"/>
    <w:next w:val="BodyText"/>
    <w:qFormat/>
    <w:pPr>
      <w:numPr>
        <w:ilvl w:val="0"/>
      </w:numPr>
      <w:spacing w:after="240"/>
    </w:pPr>
    <w:rPr>
      <w:rFonts w:ascii="Times New Roman Bold" w:hAnsi="Times New Roman Bold" w:cs="Times New Roman Bold"/>
      <w:b/>
      <w:i w:val="0"/>
      <w:iCs w:val="0"/>
      <w:color w:val="000000"/>
      <w:spacing w:val="0"/>
      <w:szCs w:val="20"/>
      <w:u w:val="single"/>
    </w:rPr>
  </w:style>
  <w:style w:type="paragraph" w:styleId="Subtitle">
    <w:name w:val="Subtitle"/>
    <w:basedOn w:val="Normal"/>
    <w:next w:val="Normal"/>
    <w:link w:val="SubtitleChar"/>
    <w:uiPriority w:val="99"/>
    <w:pPr>
      <w:numPr>
        <w:ilvl w:val="1"/>
      </w:numPr>
    </w:pPr>
    <w:rPr>
      <w:rFonts w:ascii="Cambria" w:eastAsia="Times New Roman" w:hAnsi="Cambria" w:cs="Cambria"/>
      <w:i/>
      <w:iCs/>
      <w:color w:val="4F81BD"/>
      <w:spacing w:val="15"/>
    </w:rPr>
  </w:style>
  <w:style w:type="character" w:customStyle="1" w:styleId="SubtitleChar">
    <w:name w:val="Subtitle Char"/>
    <w:link w:val="Subtitle"/>
    <w:uiPriority w:val="99"/>
    <w:locked/>
    <w:rPr>
      <w:rFonts w:ascii="Cambria" w:hAnsi="Cambria" w:cs="Cambria"/>
      <w:i/>
      <w:iCs/>
      <w:color w:val="4F81BD"/>
      <w:spacing w:val="15"/>
      <w:sz w:val="24"/>
      <w:szCs w:val="24"/>
    </w:rPr>
  </w:style>
  <w:style w:type="paragraph" w:styleId="Title">
    <w:name w:val="Title"/>
    <w:basedOn w:val="Normal"/>
    <w:next w:val="Normal"/>
    <w:link w:val="TitleChar"/>
    <w:uiPriority w:val="99"/>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link w:val="Title"/>
    <w:uiPriority w:val="99"/>
    <w:locked/>
    <w:rPr>
      <w:rFonts w:ascii="Cambria" w:hAnsi="Cambria" w:cs="Cambria"/>
      <w:color w:val="17365D"/>
      <w:spacing w:val="5"/>
      <w:kern w:val="28"/>
      <w:sz w:val="52"/>
      <w:szCs w:val="52"/>
    </w:rPr>
  </w:style>
  <w:style w:type="paragraph" w:customStyle="1" w:styleId="LGListBullet0">
    <w:name w:val="LG_List_Bullet"/>
    <w:basedOn w:val="ListBullet"/>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Number">
    <w:name w:val="List Number"/>
    <w:basedOn w:val="Normal"/>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Number0">
    <w:name w:val="LG_List_Number"/>
    <w:basedOn w:val="ListNumber"/>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Paragraph">
    <w:name w:val="List Paragraph"/>
    <w:basedOn w:val="Normal"/>
    <w:uiPriority w:val="34"/>
    <w:qFormat/>
    <w:pPr>
      <w:ind w:left="720"/>
      <w:contextualSpacing/>
    </w:pPr>
    <w:rPr>
      <w:rFonts w:eastAsia="Times New Roman" w:cs="Calibri"/>
    </w:rPr>
  </w:style>
  <w:style w:type="paragraph" w:customStyle="1" w:styleId="PUCFootnote">
    <w:name w:val="PUC Footnote"/>
    <w:basedOn w:val="Normal"/>
    <w:next w:val="Normal"/>
    <w:qFormat/>
    <w:pPr>
      <w:widowControl w:val="0"/>
      <w:tabs>
        <w:tab w:val="left" w:pos="1080"/>
      </w:tabs>
      <w:spacing w:after="120" w:line="240" w:lineRule="exact"/>
      <w:ind w:firstLine="720"/>
      <w:jc w:val="both"/>
    </w:pPr>
    <w:rPr>
      <w:rFonts w:eastAsia="Times New Roman"/>
      <w:sz w:val="20"/>
      <w:szCs w:val="20"/>
    </w:rPr>
  </w:style>
  <w:style w:type="character" w:styleId="PageNumber">
    <w:name w:val="page number"/>
    <w:basedOn w:val="DefaultParagraphFont"/>
    <w:uiPriority w:val="99"/>
  </w:style>
  <w:style w:type="character" w:styleId="FootnoteReference">
    <w:name w:val="footnote reference"/>
    <w:uiPriority w:val="99"/>
    <w:semiHidden/>
    <w:rPr>
      <w:rFonts w:ascii="Times" w:hAnsi="Times" w:cs="Times"/>
      <w:position w:val="6"/>
      <w:sz w:val="18"/>
      <w:szCs w:val="18"/>
      <w:vertAlign w:val="superscript"/>
    </w:rPr>
  </w:style>
  <w:style w:type="character" w:styleId="LineNumber">
    <w:name w:val="line number"/>
    <w:basedOn w:val="DefaultParagraphFont"/>
    <w:uiPriority w:val="99"/>
    <w:semiHidden/>
  </w:style>
  <w:style w:type="paragraph" w:styleId="TOC1">
    <w:name w:val="toc 1"/>
    <w:basedOn w:val="Normal"/>
    <w:next w:val="Normal"/>
    <w:autoRedefine/>
    <w:uiPriority w:val="39"/>
    <w:pPr>
      <w:tabs>
        <w:tab w:val="left" w:pos="0"/>
        <w:tab w:val="right" w:leader="dot" w:pos="9000"/>
      </w:tabs>
      <w:spacing w:after="120"/>
      <w:ind w:left="720" w:right="540" w:hanging="720"/>
    </w:pPr>
    <w:rPr>
      <w:rFonts w:cs="Times New Roman Bold"/>
      <w:bCs/>
      <w:caps/>
      <w:noProof/>
    </w:rPr>
  </w:style>
  <w:style w:type="paragraph" w:styleId="FootnoteText">
    <w:name w:val="footnote text"/>
    <w:basedOn w:val="Normal"/>
    <w:link w:val="FootnoteTextChar"/>
    <w:uiPriority w:val="99"/>
    <w:semiHidden/>
    <w:pPr>
      <w:tabs>
        <w:tab w:val="left" w:pos="1080"/>
      </w:tabs>
      <w:spacing w:before="120" w:line="240" w:lineRule="exact"/>
      <w:ind w:firstLine="720"/>
      <w:jc w:val="both"/>
    </w:pPr>
    <w:rPr>
      <w:sz w:val="20"/>
      <w:szCs w:val="20"/>
    </w:rPr>
  </w:style>
  <w:style w:type="character" w:customStyle="1" w:styleId="FootnoteTextChar">
    <w:name w:val="Footnote Text Char"/>
    <w:link w:val="FootnoteText"/>
    <w:uiPriority w:val="99"/>
    <w:semiHidden/>
    <w:locked/>
    <w:rPr>
      <w:sz w:val="20"/>
      <w:szCs w:val="20"/>
    </w:rPr>
  </w:style>
  <w:style w:type="character" w:customStyle="1" w:styleId="ListBulletChar">
    <w:name w:val="List Bullet Char"/>
    <w:link w:val="ListBullet"/>
    <w:uiPriority w:val="99"/>
    <w:semiHidden/>
    <w:locked/>
    <w:rPr>
      <w:rFonts w:ascii="Calibri" w:hAnsi="Calibri" w:cs="Calibri"/>
    </w:rPr>
  </w:style>
  <w:style w:type="character" w:customStyle="1" w:styleId="Answer2Char">
    <w:name w:val="Answer 2 Char"/>
    <w:link w:val="Answer2"/>
    <w:uiPriority w:val="99"/>
    <w:locked/>
    <w:rPr>
      <w:rFonts w:eastAsia="Times New Roman"/>
      <w:color w:val="000000"/>
      <w:sz w:val="24"/>
      <w:szCs w:val="24"/>
    </w:rPr>
  </w:style>
  <w:style w:type="paragraph" w:customStyle="1" w:styleId="Answer2">
    <w:name w:val="Answer 2"/>
    <w:basedOn w:val="Normal"/>
    <w:link w:val="Answer2Char"/>
    <w:uiPriority w:val="99"/>
    <w:pPr>
      <w:tabs>
        <w:tab w:val="left" w:pos="720"/>
      </w:tabs>
      <w:spacing w:line="520" w:lineRule="exact"/>
      <w:ind w:left="720" w:firstLine="720"/>
      <w:jc w:val="both"/>
    </w:pPr>
  </w:style>
  <w:style w:type="paragraph" w:customStyle="1" w:styleId="LGListBullet2">
    <w:name w:val="LG List Bullet2"/>
    <w:basedOn w:val="Normal"/>
    <w:qFormat/>
    <w:pPr>
      <w:numPr>
        <w:ilvl w:val="2"/>
        <w:numId w:val="3"/>
      </w:numPr>
    </w:pPr>
    <w:rPr>
      <w:rFonts w:eastAsia="Times New Roman"/>
    </w:rPr>
  </w:style>
  <w:style w:type="paragraph" w:styleId="TOC2">
    <w:name w:val="toc 2"/>
    <w:basedOn w:val="Normal"/>
    <w:next w:val="Normal"/>
    <w:link w:val="TOC2Char"/>
    <w:autoRedefine/>
    <w:uiPriority w:val="39"/>
    <w:pPr>
      <w:tabs>
        <w:tab w:val="right" w:leader="dot" w:pos="9000"/>
      </w:tabs>
      <w:spacing w:after="120"/>
      <w:ind w:left="1440" w:right="540" w:hanging="720"/>
      <w:jc w:val="both"/>
    </w:pPr>
  </w:style>
  <w:style w:type="character" w:styleId="Hyperlink">
    <w:name w:val="Hyperlink"/>
    <w:uiPriority w:val="99"/>
    <w:rPr>
      <w:color w:val="0000FF"/>
      <w:u w:val="single"/>
    </w:rPr>
  </w:style>
  <w:style w:type="paragraph" w:styleId="TOC3">
    <w:name w:val="toc 3"/>
    <w:basedOn w:val="Normal"/>
    <w:next w:val="Normal"/>
    <w:autoRedefine/>
    <w:uiPriority w:val="39"/>
    <w:pPr>
      <w:tabs>
        <w:tab w:val="left" w:pos="1080"/>
        <w:tab w:val="right" w:leader="dot" w:pos="9000"/>
      </w:tabs>
      <w:spacing w:after="120"/>
      <w:ind w:left="2160" w:right="540" w:hanging="720"/>
      <w:jc w:val="both"/>
    </w:pPr>
  </w:style>
  <w:style w:type="paragraph" w:styleId="Index1">
    <w:name w:val="index 1"/>
    <w:basedOn w:val="Normal"/>
    <w:next w:val="Normal"/>
    <w:autoRedefine/>
    <w:uiPriority w:val="99"/>
    <w:semiHidden/>
    <w:pPr>
      <w:ind w:left="240" w:hanging="240"/>
    </w:pPr>
  </w:style>
  <w:style w:type="paragraph" w:customStyle="1" w:styleId="Questions">
    <w:name w:val="Questions"/>
    <w:basedOn w:val="Normal"/>
    <w:link w:val="QuestionsChar"/>
    <w:uiPriority w:val="99"/>
    <w:pPr>
      <w:spacing w:before="240" w:line="520" w:lineRule="exact"/>
      <w:ind w:left="720" w:hanging="720"/>
      <w:jc w:val="both"/>
    </w:pPr>
    <w:rPr>
      <w:rFonts w:ascii="Times New Roman Bold" w:eastAsia="Times New Roman" w:hAnsi="Times New Roman Bold" w:cs="Times New Roman Bold"/>
      <w:caps/>
      <w:color w:val="auto"/>
    </w:rPr>
  </w:style>
  <w:style w:type="paragraph" w:customStyle="1" w:styleId="Answers">
    <w:name w:val="Answers"/>
    <w:basedOn w:val="Normal"/>
    <w:pPr>
      <w:spacing w:line="520" w:lineRule="exact"/>
      <w:ind w:left="720" w:hanging="720"/>
      <w:jc w:val="both"/>
    </w:pPr>
    <w:rPr>
      <w:rFonts w:eastAsia="Times New Roman"/>
      <w:color w:val="auto"/>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color w:val="00000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color w:val="000000"/>
      <w:sz w:val="16"/>
      <w:szCs w:val="16"/>
    </w:rPr>
  </w:style>
  <w:style w:type="paragraph" w:styleId="TOCHeading">
    <w:name w:val="TOC Heading"/>
    <w:basedOn w:val="Heading1"/>
    <w:next w:val="Normal"/>
    <w:uiPriority w:val="39"/>
    <w:unhideWhenUsed/>
    <w:qFormat/>
    <w:pPr>
      <w:spacing w:before="480" w:after="0"/>
      <w:jc w:val="left"/>
      <w:outlineLvl w:val="9"/>
    </w:pPr>
    <w:rPr>
      <w:rFonts w:ascii="Cambria" w:hAnsi="Cambria"/>
      <w:caps w:val="0"/>
      <w:color w:val="365F91"/>
      <w:sz w:val="28"/>
      <w:szCs w:val="28"/>
    </w:rPr>
  </w:style>
  <w:style w:type="paragraph" w:styleId="TOC4">
    <w:name w:val="toc 4"/>
    <w:basedOn w:val="Normal"/>
    <w:next w:val="Normal"/>
    <w:autoRedefine/>
    <w:uiPriority w:val="39"/>
    <w:semiHidden/>
    <w:unhideWhenUsed/>
    <w:locked/>
    <w:pPr>
      <w:ind w:left="720"/>
    </w:pPr>
  </w:style>
  <w:style w:type="paragraph" w:styleId="TOC5">
    <w:name w:val="toc 5"/>
    <w:basedOn w:val="Normal"/>
    <w:next w:val="Normal"/>
    <w:autoRedefine/>
    <w:uiPriority w:val="39"/>
    <w:semiHidden/>
    <w:unhideWhenUsed/>
    <w:locked/>
    <w:pPr>
      <w:ind w:left="960"/>
    </w:pPr>
  </w:style>
  <w:style w:type="paragraph" w:styleId="TOC6">
    <w:name w:val="toc 6"/>
    <w:basedOn w:val="Normal"/>
    <w:next w:val="Normal"/>
    <w:autoRedefine/>
    <w:uiPriority w:val="39"/>
    <w:semiHidden/>
    <w:unhideWhenUsed/>
    <w:locked/>
    <w:pPr>
      <w:ind w:left="1200"/>
    </w:pPr>
  </w:style>
  <w:style w:type="paragraph" w:styleId="TOC7">
    <w:name w:val="toc 7"/>
    <w:basedOn w:val="Normal"/>
    <w:next w:val="Normal"/>
    <w:autoRedefine/>
    <w:uiPriority w:val="39"/>
    <w:semiHidden/>
    <w:unhideWhenUsed/>
    <w:locked/>
    <w:pPr>
      <w:ind w:left="1440"/>
    </w:pPr>
  </w:style>
  <w:style w:type="paragraph" w:styleId="TOC8">
    <w:name w:val="toc 8"/>
    <w:basedOn w:val="Normal"/>
    <w:next w:val="Normal"/>
    <w:autoRedefine/>
    <w:uiPriority w:val="39"/>
    <w:semiHidden/>
    <w:unhideWhenUsed/>
    <w:locked/>
    <w:pPr>
      <w:ind w:left="1680"/>
    </w:pPr>
  </w:style>
  <w:style w:type="paragraph" w:styleId="TOC9">
    <w:name w:val="toc 9"/>
    <w:basedOn w:val="Normal"/>
    <w:next w:val="Normal"/>
    <w:autoRedefine/>
    <w:uiPriority w:val="39"/>
    <w:semiHidden/>
    <w:unhideWhenUsed/>
    <w:locked/>
    <w:pPr>
      <w:ind w:left="1920"/>
    </w:pPr>
  </w:style>
  <w:style w:type="paragraph" w:customStyle="1" w:styleId="TOCPage">
    <w:name w:val="TOC Page"/>
    <w:basedOn w:val="Normal"/>
    <w:next w:val="Normal"/>
    <w:link w:val="TOCPageChar"/>
    <w:pPr>
      <w:spacing w:after="240"/>
      <w:jc w:val="right"/>
    </w:pPr>
    <w:rPr>
      <w:b/>
      <w:noProof/>
    </w:rPr>
  </w:style>
  <w:style w:type="character" w:customStyle="1" w:styleId="TOC2Char">
    <w:name w:val="TOC 2 Char"/>
    <w:link w:val="TOC2"/>
    <w:uiPriority w:val="39"/>
    <w:rPr>
      <w:color w:val="000000"/>
      <w:sz w:val="24"/>
      <w:szCs w:val="24"/>
    </w:rPr>
  </w:style>
  <w:style w:type="character" w:customStyle="1" w:styleId="TOCPageChar">
    <w:name w:val="TOC Page Char"/>
    <w:link w:val="TOCPage"/>
    <w:rPr>
      <w:b/>
      <w:noProof/>
      <w:color w:val="000000"/>
      <w:sz w:val="24"/>
      <w:szCs w:val="24"/>
    </w:rPr>
  </w:style>
  <w:style w:type="character" w:customStyle="1" w:styleId="DocID">
    <w:name w:val="DocID"/>
    <w:rPr>
      <w:rFonts w:ascii="Times New Roman" w:hAnsi="Times New Roman" w:cs="Times New Roman"/>
      <w:b w:val="0"/>
      <w:i w:val="0"/>
      <w:vanish w:val="0"/>
      <w:color w:val="000000"/>
      <w:sz w:val="18"/>
      <w:u w:val="none"/>
    </w:rPr>
  </w:style>
  <w:style w:type="paragraph" w:customStyle="1" w:styleId="LGFiledisk">
    <w:name w:val="LG Filedisk"/>
    <w:basedOn w:val="Normal"/>
    <w:qFormat/>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Heading1">
    <w:name w:val="LG Heading1"/>
    <w:basedOn w:val="Heading1"/>
    <w:next w:val="LGBodyTextSS"/>
    <w:qFormat/>
    <w:rPr>
      <w:caps w:val="0"/>
    </w:rPr>
  </w:style>
  <w:style w:type="paragraph" w:customStyle="1" w:styleId="LGHeading2">
    <w:name w:val="LG Heading2"/>
    <w:basedOn w:val="Heading2"/>
    <w:next w:val="LGBodyTextSS"/>
    <w:qFormat/>
    <w:rPr>
      <w:i/>
      <w:szCs w:val="24"/>
    </w:rPr>
  </w:style>
  <w:style w:type="paragraph" w:customStyle="1" w:styleId="LGHeading3">
    <w:name w:val="LG Heading3"/>
    <w:basedOn w:val="Heading3"/>
    <w:next w:val="LGBodyTextSS"/>
    <w:qFormat/>
  </w:style>
  <w:style w:type="paragraph" w:customStyle="1" w:styleId="LGListNumber">
    <w:name w:val="LG List Number"/>
    <w:basedOn w:val="ListNumber"/>
    <w:autoRedefine/>
    <w:qFormat/>
    <w:pPr>
      <w:numPr>
        <w:numId w:val="2"/>
      </w:numPr>
      <w:spacing w:before="120" w:after="120" w:line="280" w:lineRule="exact"/>
      <w:ind w:left="2160"/>
      <w:jc w:val="both"/>
    </w:pPr>
    <w:rPr>
      <w:rFonts w:ascii="Times New Roman" w:hAnsi="Times New Roman" w:cs="Times New Roman"/>
      <w:color w:val="000000"/>
      <w:sz w:val="24"/>
      <w:szCs w:val="24"/>
    </w:rPr>
  </w:style>
  <w:style w:type="paragraph" w:customStyle="1" w:styleId="LGListNumber1">
    <w:name w:val="LG List Number1"/>
    <w:basedOn w:val="Normal"/>
    <w:qFormat/>
    <w:pPr>
      <w:numPr>
        <w:ilvl w:val="1"/>
        <w:numId w:val="2"/>
      </w:numPr>
    </w:pPr>
    <w:rPr>
      <w:rFonts w:eastAsia="Times New Roman"/>
    </w:rPr>
  </w:style>
  <w:style w:type="paragraph" w:customStyle="1" w:styleId="LGListNumber2">
    <w:name w:val="LG List Number2"/>
    <w:basedOn w:val="Normal"/>
    <w:qFormat/>
    <w:pPr>
      <w:numPr>
        <w:ilvl w:val="2"/>
        <w:numId w:val="2"/>
      </w:numPr>
    </w:pPr>
    <w:rPr>
      <w:rFonts w:eastAsia="Times New Roman"/>
    </w:rPr>
  </w:style>
  <w:style w:type="paragraph" w:customStyle="1" w:styleId="LGTitle">
    <w:name w:val="LG Title"/>
    <w:basedOn w:val="Title"/>
    <w:next w:val="BodyText"/>
    <w:qFormat/>
    <w:pPr>
      <w:pBdr>
        <w:bottom w:val="none" w:sz="0" w:space="0" w:color="auto"/>
      </w:pBdr>
      <w:spacing w:after="360"/>
      <w:jc w:val="center"/>
      <w:outlineLvl w:val="0"/>
    </w:pPr>
    <w:rPr>
      <w:rFonts w:ascii="Times New Roman" w:hAnsi="Times New Roman" w:cs="Times New Roman"/>
      <w:b/>
      <w:caps/>
      <w:color w:val="000000"/>
      <w:spacing w:val="0"/>
      <w:kern w:val="0"/>
      <w:sz w:val="24"/>
      <w:szCs w:val="20"/>
    </w:rPr>
  </w:style>
  <w:style w:type="paragraph" w:customStyle="1" w:styleId="LGFiledisk0">
    <w:name w:val="LGFiledisk"/>
    <w:basedOn w:val="Normal"/>
    <w:qFormat/>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pPr>
      <w:tabs>
        <w:tab w:val="left" w:pos="720"/>
        <w:tab w:val="left" w:pos="1440"/>
        <w:tab w:val="left" w:pos="2160"/>
        <w:tab w:val="left" w:pos="2880"/>
      </w:tabs>
      <w:ind w:left="2880" w:hanging="2880"/>
      <w:jc w:val="both"/>
    </w:pPr>
    <w:rPr>
      <w:rFonts w:eastAsia="Times New Roman"/>
    </w:rPr>
  </w:style>
  <w:style w:type="paragraph" w:customStyle="1" w:styleId="answers0">
    <w:name w:val="answers"/>
    <w:basedOn w:val="Normal"/>
    <w:pPr>
      <w:spacing w:after="200" w:line="276" w:lineRule="auto"/>
      <w:ind w:left="720" w:hanging="720"/>
      <w:contextualSpacing/>
      <w:jc w:val="both"/>
    </w:pPr>
    <w:rPr>
      <w:rFonts w:eastAsia="Times New Roman"/>
      <w:szCs w:val="22"/>
    </w:rPr>
  </w:style>
  <w:style w:type="character" w:customStyle="1" w:styleId="QuestionsChar">
    <w:name w:val="Questions Char"/>
    <w:link w:val="Questions"/>
    <w:rPr>
      <w:rFonts w:ascii="Times New Roman Bold" w:eastAsia="Times New Roman" w:hAnsi="Times New Roman Bold" w:cs="Times New Roman Bold"/>
      <w:caps/>
      <w:color w:val="auto"/>
    </w:rPr>
  </w:style>
  <w:style w:type="paragraph" w:customStyle="1" w:styleId="QUESTIONS0">
    <w:name w:val="QUESTIONS"/>
    <w:basedOn w:val="Questions"/>
    <w:link w:val="QUESTIONSChar0"/>
    <w:qFormat/>
    <w:pPr>
      <w:spacing w:before="0" w:after="200" w:line="276" w:lineRule="auto"/>
      <w:contextualSpacing/>
    </w:pPr>
    <w:rPr>
      <w:rFonts w:cs="Times New Roman"/>
      <w:b/>
      <w:color w:val="000000"/>
      <w:szCs w:val="22"/>
    </w:rPr>
  </w:style>
  <w:style w:type="character" w:customStyle="1" w:styleId="QUESTIONSChar0">
    <w:name w:val="QUESTIONS Char"/>
    <w:link w:val="QUESTIONS0"/>
    <w:rPr>
      <w:rFonts w:ascii="Times New Roman Bold" w:eastAsia="Times New Roman" w:hAnsi="Times New Roman Bold"/>
      <w:b/>
      <w:caps/>
      <w:color w:val="000000"/>
      <w:szCs w:val="22"/>
    </w:rPr>
  </w:style>
  <w:style w:type="paragraph" w:styleId="CommentSubject">
    <w:name w:val="annotation subject"/>
    <w:basedOn w:val="CommentText"/>
    <w:next w:val="CommentText"/>
    <w:link w:val="CommentSubjectChar"/>
    <w:uiPriority w:val="99"/>
    <w:semiHidden/>
    <w:unhideWhenUsed/>
    <w:locked/>
    <w:rPr>
      <w:b/>
      <w:bCs/>
    </w:rPr>
  </w:style>
  <w:style w:type="character" w:customStyle="1" w:styleId="CommentSubjectChar">
    <w:name w:val="Comment Subject Char"/>
    <w:link w:val="CommentSubject"/>
    <w:uiPriority w:val="99"/>
    <w:semiHidden/>
    <w:rPr>
      <w:b/>
      <w:bCs/>
      <w:color w:val="000000"/>
      <w:sz w:val="20"/>
      <w:szCs w:val="20"/>
    </w:rPr>
  </w:style>
  <w:style w:type="paragraph" w:styleId="BodyText2">
    <w:name w:val="Body Text 2"/>
    <w:basedOn w:val="Normal"/>
    <w:link w:val="BodyText2Char"/>
    <w:uiPriority w:val="99"/>
    <w:unhideWhenUsed/>
    <w:locked/>
    <w:pPr>
      <w:jc w:val="center"/>
    </w:pPr>
    <w:rPr>
      <w:b/>
      <w:bCs/>
      <w:color w:val="auto"/>
      <w:sz w:val="28"/>
      <w:szCs w:val="28"/>
    </w:rPr>
  </w:style>
  <w:style w:type="character" w:customStyle="1" w:styleId="BodyText2Char">
    <w:name w:val="Body Text 2 Char"/>
    <w:link w:val="BodyText2"/>
    <w:uiPriority w:val="99"/>
    <w:rPr>
      <w:b/>
      <w:bCs/>
      <w:sz w:val="28"/>
      <w:szCs w:val="28"/>
    </w:rPr>
  </w:style>
  <w:style w:type="character" w:customStyle="1" w:styleId="LGCaptionChar">
    <w:name w:val="LG Caption Char"/>
    <w:link w:val="LGCaption"/>
    <w:rPr>
      <w:rFonts w:ascii="Times New Roman Bold" w:eastAsia="Times New Roman" w:hAnsi="Times New Roman Bold" w:cs="Times New Roman Bold"/>
      <w:caps/>
      <w:color w:val="000000"/>
      <w:sz w:val="24"/>
    </w:rPr>
  </w:style>
  <w:style w:type="paragraph" w:customStyle="1" w:styleId="pleadingstyle">
    <w:name w:val="pleading style"/>
    <w:basedOn w:val="Normal"/>
    <w:pPr>
      <w:tabs>
        <w:tab w:val="left" w:pos="4680"/>
      </w:tabs>
      <w:spacing w:after="360"/>
    </w:pPr>
    <w:rPr>
      <w:rFonts w:ascii="Times New Roman Bold" w:hAnsi="Times New Roman Bold"/>
      <w:caps/>
    </w:rPr>
  </w:style>
  <w:style w:type="paragraph" w:styleId="List3">
    <w:name w:val="List 3"/>
    <w:basedOn w:val="Normal"/>
    <w:uiPriority w:val="99"/>
    <w:semiHidden/>
    <w:unhideWhenUsed/>
    <w:locked/>
    <w:pPr>
      <w:ind w:left="1080" w:hanging="360"/>
      <w:contextualSpacing/>
    </w:pPr>
  </w:style>
  <w:style w:type="numbering" w:customStyle="1" w:styleId="TNRHeadings">
    <w:name w:val="TNR Headings"/>
    <w:pPr>
      <w:numPr>
        <w:numId w:val="4"/>
      </w:numPr>
    </w:pPr>
  </w:style>
  <w:style w:type="paragraph" w:customStyle="1" w:styleId="TNRHeading1">
    <w:name w:val="TNR Heading 1"/>
    <w:qFormat/>
    <w:pPr>
      <w:keepNext/>
      <w:numPr>
        <w:numId w:val="4"/>
      </w:numPr>
      <w:tabs>
        <w:tab w:val="num" w:pos="1080"/>
      </w:tabs>
      <w:spacing w:after="240"/>
      <w:ind w:left="1080" w:hanging="360"/>
      <w:jc w:val="center"/>
    </w:pPr>
    <w:rPr>
      <w:rFonts w:ascii="Times New Roman Bold" w:hAnsi="Times New Roman Bold"/>
      <w:b/>
      <w:caps/>
      <w:sz w:val="24"/>
      <w:szCs w:val="22"/>
      <w:u w:val="single"/>
    </w:rPr>
  </w:style>
  <w:style w:type="paragraph" w:customStyle="1" w:styleId="TNRHeading3">
    <w:name w:val="TNR Heading 3"/>
    <w:basedOn w:val="Normal"/>
    <w:qFormat/>
    <w:pPr>
      <w:keepNext/>
      <w:numPr>
        <w:ilvl w:val="2"/>
        <w:numId w:val="4"/>
      </w:numPr>
      <w:tabs>
        <w:tab w:val="num" w:pos="1080"/>
      </w:tabs>
      <w:spacing w:after="240"/>
      <w:ind w:left="1080" w:hanging="360"/>
      <w:jc w:val="center"/>
    </w:pPr>
    <w:rPr>
      <w:rFonts w:ascii="Times New Roman Bold" w:hAnsi="Times New Roman Bold"/>
      <w:b/>
      <w:color w:val="auto"/>
      <w:szCs w:val="22"/>
    </w:rPr>
  </w:style>
  <w:style w:type="paragraph" w:customStyle="1" w:styleId="Answer">
    <w:name w:val="Answer"/>
    <w:basedOn w:val="Normal"/>
    <w:qFormat/>
    <w:pPr>
      <w:tabs>
        <w:tab w:val="left" w:pos="720"/>
      </w:tabs>
      <w:spacing w:line="480" w:lineRule="auto"/>
      <w:ind w:left="720" w:hanging="720"/>
      <w:jc w:val="both"/>
    </w:pPr>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827277">
      <w:bodyDiv w:val="1"/>
      <w:marLeft w:val="0"/>
      <w:marRight w:val="0"/>
      <w:marTop w:val="0"/>
      <w:marBottom w:val="0"/>
      <w:divBdr>
        <w:top w:val="none" w:sz="0" w:space="0" w:color="auto"/>
        <w:left w:val="none" w:sz="0" w:space="0" w:color="auto"/>
        <w:bottom w:val="none" w:sz="0" w:space="0" w:color="auto"/>
        <w:right w:val="none" w:sz="0" w:space="0" w:color="auto"/>
      </w:divBdr>
    </w:div>
    <w:div w:id="1049112396">
      <w:bodyDiv w:val="1"/>
      <w:marLeft w:val="0"/>
      <w:marRight w:val="0"/>
      <w:marTop w:val="0"/>
      <w:marBottom w:val="0"/>
      <w:divBdr>
        <w:top w:val="none" w:sz="0" w:space="0" w:color="auto"/>
        <w:left w:val="none" w:sz="0" w:space="0" w:color="auto"/>
        <w:bottom w:val="none" w:sz="0" w:space="0" w:color="auto"/>
        <w:right w:val="none" w:sz="0" w:space="0" w:color="auto"/>
      </w:divBdr>
    </w:div>
    <w:div w:id="1126241199">
      <w:bodyDiv w:val="1"/>
      <w:marLeft w:val="0"/>
      <w:marRight w:val="0"/>
      <w:marTop w:val="0"/>
      <w:marBottom w:val="0"/>
      <w:divBdr>
        <w:top w:val="none" w:sz="0" w:space="0" w:color="auto"/>
        <w:left w:val="none" w:sz="0" w:space="0" w:color="auto"/>
        <w:bottom w:val="none" w:sz="0" w:space="0" w:color="auto"/>
        <w:right w:val="none" w:sz="0" w:space="0" w:color="auto"/>
      </w:divBdr>
    </w:div>
    <w:div w:id="15117246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54790-8D8D-41D0-9431-C3E2B965B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29</Pages>
  <Words>6554</Words>
  <Characters>35035</Characters>
  <Application>Microsoft Office Word</Application>
  <DocSecurity>0</DocSecurity>
  <Lines>291</Lines>
  <Paragraphs>83</Paragraphs>
  <ScaleCrop>false</ScaleCrop>
  <HeadingPairs>
    <vt:vector size="2" baseType="variant">
      <vt:variant>
        <vt:lpstr>Title</vt:lpstr>
      </vt:variant>
      <vt:variant>
        <vt:i4>1</vt:i4>
      </vt:variant>
    </vt:vector>
  </HeadingPairs>
  <TitlesOfParts>
    <vt:vector size="1" baseType="lpstr">
      <vt:lpstr>SOAH DOCKET NO</vt:lpstr>
    </vt:vector>
  </TitlesOfParts>
  <Company>Lloyd Gosselink</Company>
  <LinksUpToDate>false</LinksUpToDate>
  <CharactersWithSpaces>41506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Judy McMahon</dc:creator>
  <cp:lastModifiedBy>Roxanne Yeisley</cp:lastModifiedBy>
  <cp:revision>16</cp:revision>
  <cp:lastPrinted>2019-04-10T20:25:00Z</cp:lastPrinted>
  <dcterms:created xsi:type="dcterms:W3CDTF">2019-04-06T15:17:00Z</dcterms:created>
  <dcterms:modified xsi:type="dcterms:W3CDTF">2019-04-10T20:26:00Z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2242529.1</vt:lpwstr>
  </property>
</Properties>
</file>